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BC960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成都市新津区中医医院</w:t>
      </w:r>
    </w:p>
    <w:p w14:paraId="43E4139C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血液透析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设备</w:t>
      </w:r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功能升级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服务项目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询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预算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价公示</w:t>
      </w:r>
    </w:p>
    <w:p w14:paraId="3D73D342">
      <w:pPr>
        <w:spacing w:line="700" w:lineRule="exact"/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</w:pPr>
    </w:p>
    <w:p w14:paraId="5EAD4A9D">
      <w:pPr>
        <w:spacing w:line="360" w:lineRule="auto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各潜在供应商：</w:t>
      </w:r>
    </w:p>
    <w:p w14:paraId="3D58EF04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根据医院业务需要，我院拟采购血液透析设备功能升级服务项目。现将具体采购需求公告如下，各潜在供应商如有意向参与，请主动与我院联系，并在公示期内提供以下资料，以便初步甄选。</w:t>
      </w:r>
    </w:p>
    <w:p w14:paraId="640C318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公司情况介绍：</w:t>
      </w:r>
    </w:p>
    <w:p w14:paraId="1550F1B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1、公司相关业务情况、业绩简介。</w:t>
      </w:r>
    </w:p>
    <w:p w14:paraId="017BA2A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2、公司营业执照复印件；公司法人身份证复印件，或授权委托书及授权委托人身份证复印件。</w:t>
      </w:r>
    </w:p>
    <w:p w14:paraId="6E20272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报名要求：</w:t>
      </w:r>
    </w:p>
    <w:p w14:paraId="09EF76AE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1、资料必须密封，现场递交成都市新津区中医医院采购办（医院篮球场旁，两层板房第一间）。</w:t>
      </w:r>
    </w:p>
    <w:p w14:paraId="6D45B46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2、报价资料需按照医院要求格式报价。（附件2）</w:t>
      </w:r>
    </w:p>
    <w:p w14:paraId="3472BAC9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3、提供电子版报价资料和相关服务方案简介资料，可优化和细化功能参数，以便医院甄选使用（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本项目无需电子报价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）</w:t>
      </w:r>
    </w:p>
    <w:p w14:paraId="11D4DA37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4、参与供应商应符合《政府采购法》第二十二条的相关资质要求，具备相关资质。并提供相关证明材料或承诺函。 </w:t>
      </w:r>
    </w:p>
    <w:p w14:paraId="18720D96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5、拟参与本项目的供应商如需了解项目情况，自行对接该项目负责人了解相关信息。</w:t>
      </w:r>
    </w:p>
    <w:p w14:paraId="053AA85D">
      <w:pPr>
        <w:spacing w:line="360" w:lineRule="auto"/>
        <w:ind w:firstLine="560" w:firstLineChars="200"/>
        <w:jc w:val="left"/>
        <w:rPr>
          <w:color w:val="auto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6、所有递交资料及相关证明材料必须加盖供应商鲜章有效。</w:t>
      </w:r>
    </w:p>
    <w:p w14:paraId="53F6BAEA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本次公开询价结果只作为本项目采购预算价，不作为成交价。</w:t>
      </w:r>
    </w:p>
    <w:p w14:paraId="08556C0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其他事项</w:t>
      </w:r>
    </w:p>
    <w:p w14:paraId="68FD5C6A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1" w:name="_Toc20249"/>
      <w:bookmarkStart w:id="2" w:name="_Toc20665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1、报名资料接收时间：（2025年4月2日-2025年4月8日工作时间9:00-16:00；文件接收截止日期：2025年4月10日16：00）递交资料人员须为法人或授权委托人并提供证明文件查看。报名登记表见附件3。</w:t>
      </w:r>
    </w:p>
    <w:p w14:paraId="454F155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2、公示人：成都市新津区中医医院 地址：成都市新津区西创大道1389号</w:t>
      </w:r>
    </w:p>
    <w:p w14:paraId="35C790C4">
      <w:pPr>
        <w:spacing w:line="360" w:lineRule="auto"/>
        <w:ind w:firstLine="560" w:firstLineChars="200"/>
        <w:jc w:val="left"/>
        <w:rPr>
          <w:rFonts w:hint="default" w:hAnsi="宋体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3、报名联系人：潘老师、周老师028-82526150 ；项目咨询联系人：刘老师，</w:t>
      </w:r>
      <w:r>
        <w:rPr>
          <w:rFonts w:hint="eastAsia" w:hAnsi="宋体" w:cs="仿宋_GB2312"/>
          <w:color w:val="auto"/>
          <w:sz w:val="28"/>
          <w:szCs w:val="28"/>
          <w:lang w:val="en-US" w:eastAsia="zh-CN"/>
        </w:rPr>
        <w:t>17761196062</w:t>
      </w:r>
    </w:p>
    <w:p w14:paraId="56EC0838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4、报名供应商可通过邮箱845865477@qq.com报名。报名需提交报名登记表及登记表要求的相关资质资料（盖公章）。</w:t>
      </w:r>
    </w:p>
    <w:p w14:paraId="69051BC5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6C596645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290D44DF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3B97DEFB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074C1B3A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3BA2C8EF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27854A5B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7B454581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659C3763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48E05017">
      <w:pPr>
        <w:numPr>
          <w:ilvl w:val="0"/>
          <w:numId w:val="0"/>
        </w:numPr>
        <w:spacing w:line="560" w:lineRule="exac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附件1：采购需求</w:t>
      </w:r>
    </w:p>
    <w:p w14:paraId="44DA54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/>
        <w:jc w:val="left"/>
        <w:textAlignment w:val="auto"/>
        <w:rPr>
          <w:rFonts w:hint="default" w:hAnsi="宋体" w:eastAsia="仿宋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★</w:t>
      </w:r>
      <w:r>
        <w:rPr>
          <w:rFonts w:hint="eastAsia" w:ascii="Times New Roman" w:hAnsi="宋体" w:eastAsia="仿宋" w:cs="宋体"/>
          <w:b/>
          <w:color w:val="auto"/>
          <w:sz w:val="32"/>
          <w:szCs w:val="32"/>
          <w:lang w:val="en-US" w:eastAsia="zh-CN"/>
        </w:rPr>
        <w:t>一、</w:t>
      </w:r>
      <w:r>
        <w:rPr>
          <w:rFonts w:hint="eastAsia" w:hAnsi="宋体" w:eastAsia="仿宋" w:cs="宋体"/>
          <w:b/>
          <w:color w:val="auto"/>
          <w:sz w:val="32"/>
          <w:szCs w:val="32"/>
          <w:lang w:val="en-US" w:eastAsia="zh-CN"/>
        </w:rPr>
        <w:t>产品清单</w:t>
      </w:r>
    </w:p>
    <w:tbl>
      <w:tblPr>
        <w:tblStyle w:val="11"/>
        <w:tblW w:w="77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3526"/>
        <w:gridCol w:w="1698"/>
        <w:gridCol w:w="510"/>
        <w:gridCol w:w="1003"/>
      </w:tblGrid>
      <w:tr w14:paraId="28A44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054" w:type="dxa"/>
            <w:noWrap w:val="0"/>
            <w:vAlign w:val="center"/>
          </w:tcPr>
          <w:p w14:paraId="6ED09BC0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3526" w:type="dxa"/>
            <w:noWrap w:val="0"/>
            <w:vAlign w:val="center"/>
          </w:tcPr>
          <w:p w14:paraId="0AEC1F44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升级设备名称</w:t>
            </w:r>
          </w:p>
        </w:tc>
        <w:tc>
          <w:tcPr>
            <w:tcW w:w="1698" w:type="dxa"/>
            <w:noWrap w:val="0"/>
            <w:vAlign w:val="center"/>
          </w:tcPr>
          <w:p w14:paraId="74F9D4BE">
            <w:pPr>
              <w:pStyle w:val="2"/>
              <w:numPr>
                <w:ilvl w:val="0"/>
                <w:numId w:val="0"/>
              </w:numPr>
              <w:spacing w:after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型号</w:t>
            </w:r>
          </w:p>
        </w:tc>
        <w:tc>
          <w:tcPr>
            <w:tcW w:w="510" w:type="dxa"/>
            <w:noWrap w:val="0"/>
            <w:vAlign w:val="center"/>
          </w:tcPr>
          <w:p w14:paraId="16015D5C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default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单位</w:t>
            </w:r>
          </w:p>
        </w:tc>
        <w:tc>
          <w:tcPr>
            <w:tcW w:w="1003" w:type="dxa"/>
            <w:noWrap w:val="0"/>
            <w:vAlign w:val="center"/>
          </w:tcPr>
          <w:p w14:paraId="505011EA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default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数量</w:t>
            </w:r>
          </w:p>
        </w:tc>
      </w:tr>
      <w:tr w14:paraId="2A67E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054" w:type="dxa"/>
            <w:noWrap w:val="0"/>
            <w:vAlign w:val="center"/>
          </w:tcPr>
          <w:p w14:paraId="1B5EDBFA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default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3526" w:type="dxa"/>
            <w:noWrap w:val="0"/>
            <w:vAlign w:val="center"/>
          </w:tcPr>
          <w:p w14:paraId="1D9BA863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血液透析过滤机</w:t>
            </w:r>
          </w:p>
        </w:tc>
        <w:tc>
          <w:tcPr>
            <w:tcW w:w="1698" w:type="dxa"/>
            <w:noWrap w:val="0"/>
            <w:vAlign w:val="top"/>
          </w:tcPr>
          <w:p w14:paraId="2D390EF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BL-7102072</w:t>
            </w:r>
          </w:p>
        </w:tc>
        <w:tc>
          <w:tcPr>
            <w:tcW w:w="510" w:type="dxa"/>
            <w:vMerge w:val="restart"/>
            <w:noWrap w:val="0"/>
            <w:vAlign w:val="center"/>
          </w:tcPr>
          <w:p w14:paraId="338D9607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default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套</w:t>
            </w:r>
          </w:p>
        </w:tc>
        <w:tc>
          <w:tcPr>
            <w:tcW w:w="1003" w:type="dxa"/>
            <w:noWrap w:val="0"/>
            <w:vAlign w:val="center"/>
          </w:tcPr>
          <w:p w14:paraId="5C2FDBF2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default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4套</w:t>
            </w:r>
          </w:p>
        </w:tc>
      </w:tr>
      <w:tr w14:paraId="6B5E4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054" w:type="dxa"/>
            <w:noWrap w:val="0"/>
            <w:vAlign w:val="center"/>
          </w:tcPr>
          <w:p w14:paraId="07690164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default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3526" w:type="dxa"/>
            <w:noWrap w:val="0"/>
            <w:vAlign w:val="center"/>
          </w:tcPr>
          <w:p w14:paraId="766FC277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血液透析机</w:t>
            </w:r>
          </w:p>
        </w:tc>
        <w:tc>
          <w:tcPr>
            <w:tcW w:w="1698" w:type="dxa"/>
            <w:noWrap w:val="0"/>
            <w:vAlign w:val="top"/>
          </w:tcPr>
          <w:p w14:paraId="04F98B16">
            <w:pPr>
              <w:pStyle w:val="2"/>
              <w:numPr>
                <w:ilvl w:val="0"/>
                <w:numId w:val="0"/>
              </w:numPr>
              <w:spacing w:after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BL-7102005</w:t>
            </w:r>
          </w:p>
        </w:tc>
        <w:tc>
          <w:tcPr>
            <w:tcW w:w="510" w:type="dxa"/>
            <w:vMerge w:val="continue"/>
            <w:noWrap w:val="0"/>
            <w:vAlign w:val="top"/>
          </w:tcPr>
          <w:p w14:paraId="1A7E6BFB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03" w:type="dxa"/>
            <w:noWrap w:val="0"/>
            <w:vAlign w:val="center"/>
          </w:tcPr>
          <w:p w14:paraId="37E4EBD0">
            <w:pPr>
              <w:pStyle w:val="2"/>
              <w:numPr>
                <w:ilvl w:val="0"/>
                <w:numId w:val="0"/>
              </w:numPr>
              <w:spacing w:after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16套</w:t>
            </w:r>
          </w:p>
        </w:tc>
      </w:tr>
    </w:tbl>
    <w:p w14:paraId="072F3DC4">
      <w:pPr>
        <w:pStyle w:val="3"/>
        <w:rPr>
          <w:rFonts w:hint="eastAsia" w:ascii="Times New Roman" w:hAnsi="宋体" w:eastAsia="宋体" w:cs="宋体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★</w:t>
      </w:r>
      <w:r>
        <w:rPr>
          <w:rFonts w:hint="eastAsia" w:ascii="Times New Roman" w:hAnsi="宋体" w:eastAsia="宋体" w:cs="宋体"/>
          <w:b/>
          <w:color w:val="auto"/>
          <w:kern w:val="2"/>
          <w:sz w:val="32"/>
          <w:szCs w:val="32"/>
          <w:lang w:val="en-US" w:eastAsia="zh-CN" w:bidi="ar-SA"/>
        </w:rPr>
        <w:t>二、项目需求、及配置标准</w:t>
      </w:r>
    </w:p>
    <w:p w14:paraId="7BC60ED3">
      <w:pPr>
        <w:spacing w:line="360" w:lineRule="auto"/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（一）升级后需达到以下功能要求：</w:t>
      </w:r>
    </w:p>
    <w:p w14:paraId="1EAF7497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bookmarkStart w:id="3" w:name="OLE_LINK3"/>
      <w:bookmarkStart w:id="4" w:name="OLE_LINK4"/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1.升级后，血液透析设备</w:t>
      </w:r>
      <w:bookmarkEnd w:id="3"/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能</w:t>
      </w:r>
      <w:bookmarkEnd w:id="4"/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结合患者血流量、透析时间、患者体重等条件，可实现全自动无创非侵入实时连续精准的透析充分检测；</w:t>
      </w:r>
    </w:p>
    <w:p w14:paraId="7567CBE7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2.升级后，血液透析设备能提供透析过程中不间断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测量、数据存储、趋势图分析的功能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，从而协助医护为患者提供精确透析剂量，实现充分透析的目的；</w:t>
      </w:r>
    </w:p>
    <w:p w14:paraId="538F43A5"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3.升级后，血液透析设备在治疗无法达到预期，应具备提醒或者预警功能，方便医护工作人员对治疗方案的及时调整；</w:t>
      </w:r>
    </w:p>
    <w:p w14:paraId="66323CE2">
      <w:pPr>
        <w:spacing w:line="360" w:lineRule="auto"/>
        <w:jc w:val="left"/>
        <w:rPr>
          <w:rFonts w:hint="eastAsia" w:ascii="Times New Roman" w:hAnsi="宋体" w:eastAsia="宋体" w:cs="宋体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★</w:t>
      </w:r>
      <w:r>
        <w:rPr>
          <w:rFonts w:hint="eastAsia" w:ascii="Times New Roman" w:hAnsi="宋体" w:eastAsia="宋体" w:cs="宋体"/>
          <w:b/>
          <w:color w:val="auto"/>
          <w:kern w:val="2"/>
          <w:sz w:val="32"/>
          <w:szCs w:val="32"/>
          <w:lang w:val="en-US" w:eastAsia="zh-CN" w:bidi="ar-SA"/>
        </w:rPr>
        <w:t>三、商务及其他要求</w:t>
      </w:r>
    </w:p>
    <w:p w14:paraId="31393FFF">
      <w:pPr>
        <w:pStyle w:val="14"/>
        <w:widowControl/>
        <w:topLinePunct/>
        <w:adjustRightInd w:val="0"/>
        <w:snapToGrid w:val="0"/>
        <w:spacing w:line="360" w:lineRule="auto"/>
        <w:ind w:firstLine="0" w:firstLineChars="0"/>
        <w:rPr>
          <w:rFonts w:hint="eastAsia" w:ascii="仿宋" w:hAnsi="仿宋" w:eastAsia="仿宋" w:cs="仿宋"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color w:val="auto"/>
          <w:sz w:val="28"/>
          <w:szCs w:val="24"/>
        </w:rPr>
        <w:t>1.服务期限：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一年</w:t>
      </w:r>
    </w:p>
    <w:p w14:paraId="77507048">
      <w:pPr>
        <w:pStyle w:val="14"/>
        <w:widowControl/>
        <w:topLinePunct/>
        <w:adjustRightInd w:val="0"/>
        <w:snapToGrid w:val="0"/>
        <w:spacing w:line="360" w:lineRule="auto"/>
        <w:ind w:firstLine="0" w:firstLineChars="0"/>
        <w:rPr>
          <w:rFonts w:hint="eastAsia" w:ascii="仿宋" w:hAnsi="仿宋" w:eastAsia="仿宋" w:cs="仿宋"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color w:val="auto"/>
          <w:sz w:val="28"/>
          <w:szCs w:val="24"/>
        </w:rPr>
        <w:t>2.服务地点</w:t>
      </w:r>
      <w:r>
        <w:rPr>
          <w:rFonts w:hint="eastAsia" w:ascii="仿宋" w:hAnsi="仿宋" w:eastAsia="仿宋" w:cs="仿宋"/>
          <w:bCs/>
          <w:color w:val="auto"/>
          <w:sz w:val="28"/>
          <w:szCs w:val="24"/>
        </w:rPr>
        <w:t>：</w:t>
      </w:r>
      <w:r>
        <w:rPr>
          <w:rFonts w:hint="eastAsia" w:ascii="仿宋" w:hAnsi="仿宋" w:eastAsia="仿宋" w:cs="仿宋"/>
          <w:bCs/>
          <w:color w:val="auto"/>
          <w:kern w:val="2"/>
          <w:sz w:val="28"/>
          <w:szCs w:val="28"/>
          <w:lang w:val="en-US" w:eastAsia="zh-CN" w:bidi="ar-SA"/>
        </w:rPr>
        <w:t>采购人指定地点。</w:t>
      </w:r>
    </w:p>
    <w:p w14:paraId="6182E349">
      <w:pPr>
        <w:pStyle w:val="14"/>
        <w:widowControl/>
        <w:topLinePunct/>
        <w:adjustRightInd w:val="0"/>
        <w:snapToGrid w:val="0"/>
        <w:spacing w:line="360" w:lineRule="auto"/>
        <w:ind w:firstLine="0" w:firstLineChars="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lang w:val="en-US" w:eastAsia="zh-CN"/>
        </w:rPr>
        <w:t>验收标准及方法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</w:t>
      </w:r>
    </w:p>
    <w:p w14:paraId="2D99136F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1）履约验收主体：采购人。</w:t>
      </w:r>
    </w:p>
    <w:p w14:paraId="5788ADDB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2）履约验收方式：由采购人组织相关专业人员进行验收。</w:t>
      </w:r>
    </w:p>
    <w:p w14:paraId="087ECD71">
      <w:pPr>
        <w:pStyle w:val="14"/>
        <w:widowControl/>
        <w:topLinePunct/>
        <w:adjustRightInd w:val="0"/>
        <w:snapToGrid w:val="0"/>
        <w:spacing w:line="360" w:lineRule="auto"/>
        <w:ind w:firstLine="560" w:firstLineChars="200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3）履约验收内容：本项目验收由采购人组织有关专业人员按采购文件所列的各项要求、竞标人响应文件内容及承诺，签订的合同及验收所必须具备的其他材料进行验收。</w:t>
      </w:r>
    </w:p>
    <w:p w14:paraId="1D16FBC9">
      <w:pPr>
        <w:pStyle w:val="14"/>
        <w:widowControl/>
        <w:topLinePunct/>
        <w:adjustRightInd w:val="0"/>
        <w:snapToGrid w:val="0"/>
        <w:spacing w:line="360" w:lineRule="auto"/>
        <w:ind w:firstLine="0" w:firstLineChars="0"/>
        <w:rPr>
          <w:rFonts w:hint="eastAsia" w:ascii="仿宋" w:hAnsi="仿宋" w:eastAsia="仿宋" w:cs="仿宋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lang w:val="en-US" w:eastAsia="zh-CN"/>
        </w:rPr>
        <w:t>4.售后服务要求：</w:t>
      </w:r>
    </w:p>
    <w:bookmarkEnd w:id="1"/>
    <w:bookmarkEnd w:id="2"/>
    <w:p w14:paraId="1FCA9255">
      <w:pPr>
        <w:numPr>
          <w:ilvl w:val="0"/>
          <w:numId w:val="0"/>
        </w:numPr>
        <w:spacing w:line="360" w:lineRule="auto"/>
        <w:ind w:leftChars="0" w:firstLine="560" w:firstLineChars="200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1、中标供应商承诺本次涉及的设备升级服务质保≧6个月，质保期内提供无限次的现场上门服务，保证设备升级服务正常运行，且不收取任何费用。</w:t>
      </w:r>
    </w:p>
    <w:p w14:paraId="0FEE55AF">
      <w:pPr>
        <w:numPr>
          <w:ilvl w:val="0"/>
          <w:numId w:val="0"/>
        </w:numPr>
        <w:spacing w:line="360" w:lineRule="auto"/>
        <w:ind w:leftChars="100" w:firstLine="280" w:firstLineChars="100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2、响应时间：如科室出现设备服务故障需要处理，周一至周天上午七时至下午六时（“服务时间”），服务时间内收到电话报修后【半】小时内电话响应并及时给出处理方案解决故障问题，如电话响应无法解决则【24】小时内到现场响应并解决故障。</w:t>
      </w:r>
    </w:p>
    <w:p w14:paraId="0C572342">
      <w:pPr>
        <w:pStyle w:val="2"/>
        <w:ind w:firstLine="560" w:firstLineChars="200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3、质量保障措施：中标供应商应做好日常巡检及维护保养工作，以保证升级服务正常运行。</w:t>
      </w:r>
    </w:p>
    <w:p w14:paraId="7E251FF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color w:val="auto"/>
          <w:sz w:val="22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注：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1、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以上带★号条款为实质性要求。</w:t>
      </w:r>
    </w:p>
    <w:p w14:paraId="4244C27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2" w:firstLineChars="200"/>
        <w:textAlignment w:val="auto"/>
        <w:rPr>
          <w:rFonts w:hint="eastAsia" w:ascii="仿宋" w:hAnsi="仿宋" w:eastAsia="仿宋" w:cs="仿宋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highlight w:val="none"/>
          <w:lang w:val="en-US" w:eastAsia="zh-CN"/>
        </w:rPr>
        <w:t>本项目所涉及的所有国家标准、地方标准、行业标准等如有最新的标准以最新标准为准。</w:t>
      </w:r>
    </w:p>
    <w:p w14:paraId="466D57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3E59B0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7D7D3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6BF4244D"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br w:type="page"/>
      </w:r>
    </w:p>
    <w:p w14:paraId="5CB73D77">
      <w:pPr>
        <w:pStyle w:val="2"/>
        <w:rPr>
          <w:rFonts w:hint="eastAsia"/>
          <w:color w:val="auto"/>
          <w:lang w:val="en-US" w:eastAsia="zh-CN"/>
        </w:rPr>
      </w:pPr>
    </w:p>
    <w:p w14:paraId="2D3CDA3D">
      <w:pPr>
        <w:spacing w:line="360" w:lineRule="auto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附件2：报价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格式</w:t>
      </w:r>
    </w:p>
    <w:p w14:paraId="09C2207C">
      <w:pPr>
        <w:pStyle w:val="2"/>
        <w:rPr>
          <w:rFonts w:hint="eastAsia"/>
          <w:color w:val="auto"/>
          <w:lang w:val="en-US" w:eastAsia="zh-CN"/>
        </w:rPr>
      </w:pPr>
    </w:p>
    <w:tbl>
      <w:tblPr>
        <w:tblStyle w:val="10"/>
        <w:tblW w:w="10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9"/>
        <w:gridCol w:w="1704"/>
        <w:gridCol w:w="819"/>
        <w:gridCol w:w="1140"/>
        <w:gridCol w:w="1575"/>
        <w:gridCol w:w="2211"/>
      </w:tblGrid>
      <w:tr w14:paraId="39BE8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3029" w:type="dxa"/>
            <w:noWrap w:val="0"/>
            <w:vAlign w:val="center"/>
          </w:tcPr>
          <w:p w14:paraId="18A1F0F6">
            <w:pPr>
              <w:jc w:val="center"/>
              <w:rPr>
                <w:rFonts w:hint="eastAsia" w:ascii="仿宋" w:hAnsi="仿宋" w:eastAsia="仿宋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项目名称</w:t>
            </w:r>
          </w:p>
        </w:tc>
        <w:tc>
          <w:tcPr>
            <w:tcW w:w="1704" w:type="dxa"/>
            <w:noWrap w:val="0"/>
            <w:vAlign w:val="center"/>
          </w:tcPr>
          <w:p w14:paraId="13253E0C">
            <w:pPr>
              <w:jc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型号</w:t>
            </w:r>
          </w:p>
        </w:tc>
        <w:tc>
          <w:tcPr>
            <w:tcW w:w="819" w:type="dxa"/>
            <w:noWrap w:val="0"/>
            <w:vAlign w:val="center"/>
          </w:tcPr>
          <w:p w14:paraId="47C764B4">
            <w:pPr>
              <w:jc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单位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 w14:paraId="550AF668">
            <w:pPr>
              <w:pStyle w:val="2"/>
              <w:numPr>
                <w:ilvl w:val="0"/>
                <w:numId w:val="0"/>
              </w:numPr>
              <w:spacing w:after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575" w:type="dxa"/>
            <w:noWrap w:val="0"/>
            <w:vAlign w:val="center"/>
          </w:tcPr>
          <w:p w14:paraId="750D2205">
            <w:pPr>
              <w:jc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单价</w:t>
            </w:r>
          </w:p>
        </w:tc>
        <w:tc>
          <w:tcPr>
            <w:tcW w:w="2211" w:type="dxa"/>
            <w:noWrap w:val="0"/>
            <w:vAlign w:val="center"/>
          </w:tcPr>
          <w:p w14:paraId="1E5C7E42">
            <w:pPr>
              <w:jc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总价（小写</w:t>
            </w:r>
            <w:bookmarkStart w:id="5" w:name="_GoBack"/>
            <w:bookmarkEnd w:id="5"/>
            <w:r>
              <w:rPr>
                <w:rFonts w:hint="eastAsia" w:ascii="仿宋" w:hAnsi="仿宋" w:eastAsia="仿宋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）</w:t>
            </w:r>
          </w:p>
        </w:tc>
      </w:tr>
      <w:tr w14:paraId="6C0F6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3029" w:type="dxa"/>
            <w:vMerge w:val="restart"/>
            <w:noWrap w:val="0"/>
            <w:vAlign w:val="center"/>
          </w:tcPr>
          <w:p w14:paraId="0751B7DE"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成都市新津区中医医院</w:t>
            </w:r>
          </w:p>
          <w:p w14:paraId="4ABD443B"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 xml:space="preserve"> 血液透析设备功能升级服务项目询预算价</w:t>
            </w:r>
          </w:p>
        </w:tc>
        <w:tc>
          <w:tcPr>
            <w:tcW w:w="1704" w:type="dxa"/>
            <w:shd w:val="clear" w:color="auto" w:fill="auto"/>
            <w:noWrap w:val="0"/>
            <w:vAlign w:val="center"/>
          </w:tcPr>
          <w:p w14:paraId="5A4C76B1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BL-7102072</w:t>
            </w:r>
          </w:p>
        </w:tc>
        <w:tc>
          <w:tcPr>
            <w:tcW w:w="819" w:type="dxa"/>
            <w:vMerge w:val="restart"/>
            <w:noWrap w:val="0"/>
            <w:vAlign w:val="center"/>
          </w:tcPr>
          <w:p w14:paraId="28C6A4F0"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套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 w14:paraId="459493AA">
            <w:pPr>
              <w:pStyle w:val="2"/>
              <w:numPr>
                <w:ilvl w:val="0"/>
                <w:numId w:val="0"/>
              </w:numPr>
              <w:spacing w:after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575" w:type="dxa"/>
            <w:noWrap w:val="0"/>
            <w:vAlign w:val="center"/>
          </w:tcPr>
          <w:p w14:paraId="391A48CD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11" w:type="dxa"/>
            <w:noWrap w:val="0"/>
            <w:vAlign w:val="center"/>
          </w:tcPr>
          <w:p w14:paraId="3A008339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16BC7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3029" w:type="dxa"/>
            <w:vMerge w:val="continue"/>
            <w:noWrap w:val="0"/>
            <w:vAlign w:val="center"/>
          </w:tcPr>
          <w:p w14:paraId="5EB0CD9C"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04" w:type="dxa"/>
            <w:shd w:val="clear" w:color="auto" w:fill="auto"/>
            <w:noWrap w:val="0"/>
            <w:vAlign w:val="center"/>
          </w:tcPr>
          <w:p w14:paraId="53B2CF6D">
            <w:pPr>
              <w:pStyle w:val="2"/>
              <w:numPr>
                <w:ilvl w:val="0"/>
                <w:numId w:val="0"/>
              </w:numPr>
              <w:spacing w:after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BL-7102005</w:t>
            </w:r>
          </w:p>
        </w:tc>
        <w:tc>
          <w:tcPr>
            <w:tcW w:w="819" w:type="dxa"/>
            <w:vMerge w:val="continue"/>
            <w:noWrap w:val="0"/>
            <w:vAlign w:val="center"/>
          </w:tcPr>
          <w:p w14:paraId="00C2CB7D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 w14:paraId="11B21F66">
            <w:pPr>
              <w:pStyle w:val="2"/>
              <w:numPr>
                <w:ilvl w:val="0"/>
                <w:numId w:val="0"/>
              </w:numPr>
              <w:spacing w:after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16</w:t>
            </w:r>
          </w:p>
        </w:tc>
        <w:tc>
          <w:tcPr>
            <w:tcW w:w="1575" w:type="dxa"/>
            <w:noWrap w:val="0"/>
            <w:vAlign w:val="center"/>
          </w:tcPr>
          <w:p w14:paraId="58E49F65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11" w:type="dxa"/>
            <w:noWrap w:val="0"/>
            <w:vAlign w:val="center"/>
          </w:tcPr>
          <w:p w14:paraId="24856064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3D86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6692" w:type="dxa"/>
            <w:gridSpan w:val="4"/>
            <w:noWrap w:val="0"/>
            <w:vAlign w:val="center"/>
          </w:tcPr>
          <w:p w14:paraId="4B9EF8C7">
            <w:pPr>
              <w:pStyle w:val="2"/>
              <w:numPr>
                <w:ilvl w:val="0"/>
                <w:numId w:val="0"/>
              </w:numPr>
              <w:spacing w:after="0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大写总价（万元）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 w14:paraId="40AEC7D0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55DDF801"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等线" w:hAnsi="等线" w:eastAsia="等线" w:cs="等线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59D0C6F3">
      <w:pPr>
        <w:jc w:val="left"/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  <w:t>备注：报价表如有列举项目不全的，各报价公司可以在原表上添项，不能改变原表格内容。报价合计总价在列表末汇总，此报价单须单独密封。</w:t>
      </w:r>
    </w:p>
    <w:p w14:paraId="715CBBC9"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br w:type="page"/>
      </w:r>
    </w:p>
    <w:p w14:paraId="7D539EBD">
      <w:pPr>
        <w:rPr>
          <w:rFonts w:hint="eastAsia"/>
          <w:color w:val="auto"/>
          <w:lang w:val="en-US" w:eastAsia="zh-CN"/>
        </w:rPr>
      </w:pPr>
    </w:p>
    <w:p w14:paraId="344C1411">
      <w:pPr>
        <w:spacing w:line="360" w:lineRule="auto"/>
        <w:outlineLvl w:val="1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附件3：报名登记表</w:t>
      </w:r>
    </w:p>
    <w:p w14:paraId="37AC5681">
      <w:pPr>
        <w:rPr>
          <w:color w:val="auto"/>
        </w:rPr>
      </w:pPr>
    </w:p>
    <w:p w14:paraId="11D5D951">
      <w:pPr>
        <w:jc w:val="center"/>
        <w:rPr>
          <w:rFonts w:ascii="华文中宋" w:hAnsi="华文中宋" w:eastAsia="华文中宋"/>
          <w:b/>
          <w:color w:val="auto"/>
          <w:sz w:val="36"/>
          <w:szCs w:val="36"/>
        </w:rPr>
      </w:pPr>
      <w:r>
        <w:rPr>
          <w:rFonts w:hint="eastAsia" w:ascii="华文中宋" w:hAnsi="华文中宋" w:eastAsia="华文中宋"/>
          <w:b/>
          <w:color w:val="auto"/>
          <w:sz w:val="36"/>
          <w:szCs w:val="36"/>
        </w:rPr>
        <w:t>报名登记表</w:t>
      </w:r>
    </w:p>
    <w:p w14:paraId="49EBDF5A">
      <w:pPr>
        <w:rPr>
          <w:color w:val="auto"/>
        </w:rPr>
      </w:pPr>
    </w:p>
    <w:tbl>
      <w:tblPr>
        <w:tblStyle w:val="10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3D79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9088B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8D51C"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成都市新津区中医医院</w:t>
            </w:r>
          </w:p>
          <w:p w14:paraId="7A3C17A8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 xml:space="preserve"> 血液透析设备功能升级服务项目</w:t>
            </w:r>
          </w:p>
        </w:tc>
      </w:tr>
      <w:tr w14:paraId="3353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46F7C">
            <w:pPr>
              <w:ind w:firstLine="280" w:firstLineChars="100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报名单位 /个人名称</w:t>
            </w:r>
          </w:p>
          <w:p w14:paraId="36D2E676">
            <w:pPr>
              <w:ind w:firstLine="236" w:firstLineChars="98"/>
              <w:rPr>
                <w:rFonts w:ascii="仿宋" w:hAnsi="仿宋" w:eastAsia="仿宋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673902">
            <w:pPr>
              <w:jc w:val="center"/>
              <w:rPr>
                <w:rFonts w:hint="default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 w14:paraId="1058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5B26A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591AF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43C8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D326A">
            <w:pPr>
              <w:jc w:val="center"/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color w:val="auto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1805E">
            <w:pPr>
              <w:rPr>
                <w:rFonts w:ascii="仿宋" w:hAnsi="仿宋" w:eastAsia="仿宋"/>
                <w:color w:val="auto"/>
                <w:kern w:val="2"/>
                <w:sz w:val="24"/>
                <w:szCs w:val="24"/>
              </w:rPr>
            </w:pPr>
          </w:p>
        </w:tc>
      </w:tr>
      <w:tr w14:paraId="1B63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D78E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632B3C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680D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90068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0A16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E5DF7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BF13E2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13DD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784A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B0637">
            <w:pPr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</w:tbl>
    <w:p w14:paraId="28E9893F">
      <w:pPr>
        <w:jc w:val="center"/>
        <w:rPr>
          <w:rFonts w:ascii="Times New Roman"/>
          <w:color w:val="auto"/>
          <w:kern w:val="2"/>
          <w:sz w:val="21"/>
        </w:rPr>
      </w:pPr>
    </w:p>
    <w:p w14:paraId="6743D11D">
      <w:pPr>
        <w:spacing w:line="360" w:lineRule="auto"/>
        <w:rPr>
          <w:rFonts w:hint="default" w:ascii="仿宋" w:hAnsi="仿宋" w:eastAsia="仿宋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采购单位联系人：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潘老师、周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老师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 xml:space="preserve"> 028-82526150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邮箱845865477@qq.com</w:t>
      </w:r>
    </w:p>
    <w:p w14:paraId="3E4B405A">
      <w:pPr>
        <w:spacing w:line="360" w:lineRule="auto"/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注:提供（1）报名登记表扫描件（2）投标单位营业执照副本复印件（3）经办人身份证复印件（以上三条均需加盖供应商公章，提供扫描至以上邮箱）（4）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递交响应文件时，把以上3项资料盖章资料一并递交，此3项资料无需密封。</w:t>
      </w:r>
    </w:p>
    <w:p w14:paraId="25C40584">
      <w:pPr>
        <w:spacing w:line="360" w:lineRule="auto"/>
        <w:rPr>
          <w:color w:val="auto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投标单位购买招标文件时请如实认真填写报名登记表和投标人信息；若因投标单位提供的错误或不实信息，对其投标事宜造成影响的，由其投标单位自行承担所有责任。</w:t>
      </w:r>
    </w:p>
    <w:sectPr>
      <w:footerReference r:id="rId3" w:type="default"/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7A3AB2-BBE1-438A-A9EE-BD4BF1C5A9A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09799E8-E6F5-4A1A-8EA2-FB5BE457508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7790482-1F00-47B6-A29C-1ADEF4F772C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8775EA24-5ABC-4786-8C3F-A02B36AB0AEB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1423BF9E-4283-4DA1-BFD6-1994C2DEB37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06606C96-EC71-443B-ADC1-1516292AA24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42EC3C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019865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019865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7E4A69"/>
    <w:multiLevelType w:val="singleLevel"/>
    <w:tmpl w:val="A17E4A69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E56B2D59"/>
    <w:multiLevelType w:val="singleLevel"/>
    <w:tmpl w:val="E56B2D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40401"/>
    <w:rsid w:val="081A4D48"/>
    <w:rsid w:val="08F2390F"/>
    <w:rsid w:val="097B39EB"/>
    <w:rsid w:val="0A9B3267"/>
    <w:rsid w:val="0CD85E9D"/>
    <w:rsid w:val="0CEC01E6"/>
    <w:rsid w:val="10B14879"/>
    <w:rsid w:val="11213D01"/>
    <w:rsid w:val="12042B30"/>
    <w:rsid w:val="126F67ED"/>
    <w:rsid w:val="18B340A6"/>
    <w:rsid w:val="190653E0"/>
    <w:rsid w:val="1918274B"/>
    <w:rsid w:val="1A0E09F0"/>
    <w:rsid w:val="1B7C3AD4"/>
    <w:rsid w:val="24036A14"/>
    <w:rsid w:val="259A0116"/>
    <w:rsid w:val="299F4E43"/>
    <w:rsid w:val="2BBE3953"/>
    <w:rsid w:val="2C414E70"/>
    <w:rsid w:val="2CE51C0C"/>
    <w:rsid w:val="32DF1FDC"/>
    <w:rsid w:val="36A24542"/>
    <w:rsid w:val="39EE7A9E"/>
    <w:rsid w:val="3CE235AE"/>
    <w:rsid w:val="40980764"/>
    <w:rsid w:val="440B7D6A"/>
    <w:rsid w:val="4A0855A2"/>
    <w:rsid w:val="4B645E12"/>
    <w:rsid w:val="4F2627F5"/>
    <w:rsid w:val="4FC9093A"/>
    <w:rsid w:val="50992D05"/>
    <w:rsid w:val="529102F8"/>
    <w:rsid w:val="530C0109"/>
    <w:rsid w:val="533F3632"/>
    <w:rsid w:val="53857839"/>
    <w:rsid w:val="594D4AA0"/>
    <w:rsid w:val="5A61002F"/>
    <w:rsid w:val="60E70C20"/>
    <w:rsid w:val="65A6150C"/>
    <w:rsid w:val="68796990"/>
    <w:rsid w:val="692F0EEA"/>
    <w:rsid w:val="69FA5E67"/>
    <w:rsid w:val="6A2C3362"/>
    <w:rsid w:val="6C792A1B"/>
    <w:rsid w:val="6D8871EF"/>
    <w:rsid w:val="6D9B3ACA"/>
    <w:rsid w:val="717645B6"/>
    <w:rsid w:val="72EA3CE1"/>
    <w:rsid w:val="74C05C36"/>
    <w:rsid w:val="7B6F1AE6"/>
    <w:rsid w:val="7C2330CA"/>
    <w:rsid w:val="7EDE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54A1" w:themeColor="accent1" w:themeShade="BF"/>
      <w:sz w:val="40"/>
      <w:szCs w:val="40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宋体" w:hAnsi="Times New Roman"/>
      <w:kern w:val="0"/>
      <w:sz w:val="34"/>
      <w:szCs w:val="20"/>
    </w:rPr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Body Text 3"/>
    <w:basedOn w:val="1"/>
    <w:unhideWhenUsed/>
    <w:qFormat/>
    <w:uiPriority w:val="99"/>
    <w:pPr>
      <w:jc w:val="center"/>
    </w:pPr>
    <w:rPr>
      <w:rFonts w:hint="eastAsia" w:hAnsi="Symbol"/>
      <w:sz w:val="10"/>
      <w:szCs w:val="24"/>
    </w:rPr>
  </w:style>
  <w:style w:type="paragraph" w:styleId="6">
    <w:name w:val="Body Text Indent"/>
    <w:basedOn w:val="1"/>
    <w:qFormat/>
    <w:uiPriority w:val="0"/>
    <w:pPr>
      <w:spacing w:line="500" w:lineRule="exact"/>
      <w:ind w:left="832" w:leftChars="832" w:firstLine="433" w:firstLineChars="196"/>
    </w:pPr>
    <w:rPr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qFormat/>
    <w:uiPriority w:val="0"/>
    <w:pPr>
      <w:spacing w:after="120" w:line="240" w:lineRule="auto"/>
      <w:ind w:left="420" w:leftChars="200" w:firstLine="420"/>
    </w:pPr>
    <w:rPr>
      <w:sz w:val="21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文1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1768</Words>
  <Characters>1901</Characters>
  <Lines>0</Lines>
  <Paragraphs>0</Paragraphs>
  <TotalTime>3</TotalTime>
  <ScaleCrop>false</ScaleCrop>
  <LinksUpToDate>false</LinksUpToDate>
  <CharactersWithSpaces>1958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爱、吃鱼</cp:lastModifiedBy>
  <cp:lastPrinted>2025-04-02T07:27:42Z</cp:lastPrinted>
  <dcterms:modified xsi:type="dcterms:W3CDTF">2025-04-02T07:28:07Z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eyJoZGlkIjoiNDE1ZTFlMjFjZDEzODY3NmE0ZDIwNjM3NWU4ZDkyNWQiLCJ1c2VySWQiOiIzMzA3NDM0MzYifQ==</vt:lpwstr>
  </property>
  <property fmtid="{D5CDD505-2E9C-101B-9397-08002B2CF9AE}" pid="4" name="ICV">
    <vt:lpwstr>5BD0CF8FF9E445F6B4BE7FCD72D3F93A_13</vt:lpwstr>
  </property>
</Properties>
</file>