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AD5075">
      <w:pPr>
        <w:spacing w:line="700" w:lineRule="exact"/>
        <w:jc w:val="center"/>
        <w:rPr>
          <w:rFonts w:hint="eastAsia"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成都市新津区中医医院</w:t>
      </w:r>
      <w:bookmarkStart w:id="0" w:name="_Hlk92361633"/>
    </w:p>
    <w:bookmarkEnd w:id="0"/>
    <w:p w14:paraId="54D6E39D">
      <w:pPr>
        <w:spacing w:line="700" w:lineRule="exact"/>
        <w:jc w:val="center"/>
        <w:rPr>
          <w:rFonts w:hint="default" w:ascii="宋体" w:hAnsi="宋体" w:eastAsia="宋体" w:cs="方正小标宋简体"/>
          <w:bCs/>
          <w:sz w:val="36"/>
          <w:szCs w:val="36"/>
          <w:lang w:val="en-US" w:eastAsia="zh-CN"/>
        </w:rPr>
      </w:pPr>
      <w:r>
        <w:rPr>
          <w:rFonts w:hint="eastAsia" w:ascii="方正小标宋简体" w:hAnsi="方正小标宋简体" w:eastAsia="方正小标宋简体" w:cs="方正小标宋简体"/>
          <w:bCs/>
          <w:sz w:val="44"/>
          <w:szCs w:val="44"/>
          <w:lang w:val="en-US" w:eastAsia="zh-CN"/>
        </w:rPr>
        <w:t>中医特色护理系统采购询预算价</w:t>
      </w:r>
      <w:r>
        <w:rPr>
          <w:rFonts w:hint="eastAsia" w:ascii="方正小标宋简体" w:hAnsi="方正小标宋简体" w:eastAsia="方正小标宋简体" w:cs="方正小标宋简体"/>
          <w:bCs/>
          <w:sz w:val="44"/>
          <w:szCs w:val="44"/>
        </w:rPr>
        <w:t>公示</w:t>
      </w:r>
    </w:p>
    <w:p w14:paraId="4CE8C2E2">
      <w:pPr>
        <w:spacing w:line="480" w:lineRule="auto"/>
        <w:rPr>
          <w:rFonts w:hint="eastAsia" w:ascii="宋体" w:hAnsi="宋体" w:cs="仿宋_GB2312"/>
          <w:sz w:val="32"/>
          <w:szCs w:val="32"/>
        </w:rPr>
      </w:pPr>
    </w:p>
    <w:p w14:paraId="5EAD4A9D">
      <w:pPr>
        <w:spacing w:line="480" w:lineRule="auto"/>
        <w:rPr>
          <w:rFonts w:hint="eastAsia" w:ascii="宋体" w:hAnsi="宋体" w:cs="仿宋_GB2312"/>
          <w:sz w:val="24"/>
          <w:szCs w:val="24"/>
        </w:rPr>
      </w:pPr>
      <w:r>
        <w:rPr>
          <w:rFonts w:hint="eastAsia" w:ascii="宋体" w:hAnsi="宋体" w:cs="仿宋_GB2312"/>
          <w:sz w:val="24"/>
          <w:szCs w:val="24"/>
        </w:rPr>
        <w:t>各潜在供应商：</w:t>
      </w:r>
    </w:p>
    <w:p w14:paraId="3D58EF04">
      <w:pPr>
        <w:numPr>
          <w:ilvl w:val="0"/>
          <w:numId w:val="0"/>
        </w:numPr>
        <w:spacing w:line="480" w:lineRule="auto"/>
        <w:ind w:firstLine="480" w:firstLineChars="200"/>
        <w:rPr>
          <w:rFonts w:hint="eastAsia" w:ascii="宋体" w:hAnsi="宋体" w:cs="仿宋_GB2312"/>
          <w:sz w:val="24"/>
          <w:szCs w:val="24"/>
          <w:lang w:val="en-US" w:eastAsia="zh-CN"/>
        </w:rPr>
      </w:pPr>
      <w:r>
        <w:rPr>
          <w:rFonts w:hint="eastAsia" w:ascii="宋体" w:hAnsi="宋体" w:cs="仿宋_GB2312"/>
          <w:sz w:val="24"/>
          <w:szCs w:val="24"/>
          <w:lang w:val="en-US" w:eastAsia="zh-CN"/>
        </w:rPr>
        <w:t>根据医院业务需要，我院拟采购中医特色护理系统,现将具体采购需求公告如下，各潜在供应商如有意向参与，请主动与我院联系，并在公示期内提供以下资料，以便初步甄选。</w:t>
      </w:r>
    </w:p>
    <w:p w14:paraId="640C3185">
      <w:pPr>
        <w:numPr>
          <w:ilvl w:val="0"/>
          <w:numId w:val="1"/>
        </w:numPr>
        <w:spacing w:line="560" w:lineRule="exact"/>
        <w:rPr>
          <w:rFonts w:hint="eastAsia" w:ascii="宋体" w:hAnsi="宋体" w:cs="仿宋_GB2312"/>
          <w:b/>
          <w:bCs/>
          <w:sz w:val="32"/>
          <w:szCs w:val="32"/>
        </w:rPr>
      </w:pPr>
      <w:r>
        <w:rPr>
          <w:rFonts w:hint="eastAsia" w:ascii="宋体" w:hAnsi="宋体" w:cs="仿宋_GB2312"/>
          <w:b/>
          <w:bCs/>
          <w:sz w:val="32"/>
          <w:szCs w:val="32"/>
        </w:rPr>
        <w:t>公司情况介绍：</w:t>
      </w:r>
    </w:p>
    <w:p w14:paraId="1550F1B8">
      <w:pPr>
        <w:numPr>
          <w:ilvl w:val="0"/>
          <w:numId w:val="0"/>
        </w:numPr>
        <w:spacing w:line="480" w:lineRule="auto"/>
        <w:ind w:firstLine="480" w:firstLineChars="200"/>
        <w:rPr>
          <w:rFonts w:hint="eastAsia" w:ascii="宋体" w:hAnsi="宋体" w:cs="仿宋_GB2312"/>
          <w:sz w:val="24"/>
          <w:szCs w:val="24"/>
        </w:rPr>
      </w:pPr>
      <w:r>
        <w:rPr>
          <w:rFonts w:hint="eastAsia" w:ascii="宋体" w:hAnsi="宋体" w:cs="仿宋_GB2312"/>
          <w:kern w:val="2"/>
          <w:sz w:val="24"/>
          <w:szCs w:val="24"/>
          <w:lang w:val="en-US" w:eastAsia="zh-CN" w:bidi="ar-SA"/>
        </w:rPr>
        <w:t>1、</w:t>
      </w:r>
      <w:r>
        <w:rPr>
          <w:rFonts w:hint="eastAsia" w:ascii="宋体" w:hAnsi="宋体" w:cs="仿宋_GB2312"/>
          <w:sz w:val="24"/>
          <w:szCs w:val="24"/>
        </w:rPr>
        <w:t>公司相关业务情况、业绩简介。</w:t>
      </w:r>
    </w:p>
    <w:p w14:paraId="017BA2A8">
      <w:pPr>
        <w:numPr>
          <w:ilvl w:val="0"/>
          <w:numId w:val="0"/>
        </w:numPr>
        <w:spacing w:line="480" w:lineRule="auto"/>
        <w:ind w:firstLine="480" w:firstLineChars="200"/>
        <w:rPr>
          <w:rFonts w:hAnsi="宋体" w:cs="仿宋_GB2312"/>
          <w:b/>
          <w:bCs/>
          <w:sz w:val="24"/>
          <w:szCs w:val="24"/>
        </w:rPr>
      </w:pPr>
      <w:r>
        <w:rPr>
          <w:rFonts w:hAnsi="宋体" w:cs="仿宋_GB2312"/>
          <w:b w:val="0"/>
          <w:bCs w:val="0"/>
          <w:kern w:val="2"/>
          <w:sz w:val="24"/>
          <w:szCs w:val="24"/>
          <w:lang w:val="en-US" w:eastAsia="zh-CN" w:bidi="ar-SA"/>
        </w:rPr>
        <w:t>2、</w:t>
      </w:r>
      <w:r>
        <w:rPr>
          <w:rFonts w:hint="eastAsia" w:ascii="宋体" w:hAnsi="宋体" w:cs="仿宋_GB2312"/>
          <w:sz w:val="24"/>
          <w:szCs w:val="24"/>
        </w:rPr>
        <w:t>公司营业执照复印件；</w:t>
      </w:r>
      <w:r>
        <w:rPr>
          <w:rFonts w:hint="eastAsia" w:hAnsi="宋体" w:cs="仿宋_GB2312"/>
          <w:sz w:val="24"/>
          <w:szCs w:val="24"/>
        </w:rPr>
        <w:t>公司法人身份证复印件，或授权委托书及授权委托人</w:t>
      </w:r>
      <w:r>
        <w:rPr>
          <w:rFonts w:hint="eastAsia" w:hAnsi="宋体" w:cs="仿宋_GB2312"/>
          <w:sz w:val="24"/>
          <w:szCs w:val="24"/>
          <w:lang w:val="en-US" w:eastAsia="zh-CN"/>
        </w:rPr>
        <w:t>身份证</w:t>
      </w:r>
      <w:r>
        <w:rPr>
          <w:rFonts w:hint="eastAsia" w:hAnsi="宋体" w:cs="仿宋_GB2312"/>
          <w:sz w:val="24"/>
          <w:szCs w:val="24"/>
        </w:rPr>
        <w:t>复印件。</w:t>
      </w:r>
    </w:p>
    <w:p w14:paraId="6E202725">
      <w:pPr>
        <w:spacing w:line="560" w:lineRule="exact"/>
        <w:rPr>
          <w:rFonts w:hint="eastAsia" w:ascii="宋体" w:hAnsi="宋体" w:cs="仿宋_GB2312"/>
          <w:b/>
          <w:bCs/>
          <w:sz w:val="32"/>
          <w:szCs w:val="32"/>
        </w:rPr>
      </w:pPr>
      <w:r>
        <w:rPr>
          <w:rFonts w:hint="eastAsia" w:ascii="宋体" w:hAnsi="宋体" w:cs="仿宋_GB2312"/>
          <w:b/>
          <w:bCs/>
          <w:sz w:val="32"/>
          <w:szCs w:val="32"/>
        </w:rPr>
        <w:t>二、报名要求：</w:t>
      </w:r>
    </w:p>
    <w:p w14:paraId="09EF76AE">
      <w:pPr>
        <w:spacing w:line="560" w:lineRule="exact"/>
        <w:ind w:firstLine="480" w:firstLineChars="200"/>
        <w:rPr>
          <w:rFonts w:hint="eastAsia"/>
        </w:rPr>
      </w:pPr>
      <w:r>
        <w:rPr>
          <w:rFonts w:hint="eastAsia" w:ascii="宋体" w:hAnsi="宋体" w:eastAsia="宋体" w:cs="仿宋_GB2312"/>
          <w:b w:val="0"/>
          <w:bCs w:val="0"/>
          <w:sz w:val="24"/>
          <w:szCs w:val="24"/>
          <w:lang w:val="en-US" w:eastAsia="zh-CN"/>
        </w:rPr>
        <w:t>1、</w:t>
      </w:r>
      <w:r>
        <w:rPr>
          <w:rFonts w:hint="eastAsia" w:ascii="宋体" w:hAnsi="宋体" w:cs="仿宋_GB2312"/>
          <w:sz w:val="24"/>
          <w:szCs w:val="24"/>
        </w:rPr>
        <w:t>资料必须密封，现场递交成都市新津区中医医院采购办</w:t>
      </w:r>
      <w:r>
        <w:rPr>
          <w:rFonts w:hint="eastAsia" w:ascii="宋体" w:hAnsi="宋体" w:cs="仿宋_GB2312"/>
          <w:sz w:val="24"/>
          <w:szCs w:val="24"/>
          <w:lang w:eastAsia="zh-CN"/>
        </w:rPr>
        <w:t>（</w:t>
      </w:r>
      <w:r>
        <w:rPr>
          <w:rFonts w:hint="eastAsia" w:ascii="宋体" w:hAnsi="宋体" w:cs="仿宋_GB2312"/>
          <w:sz w:val="24"/>
          <w:szCs w:val="24"/>
          <w:lang w:val="en-US" w:eastAsia="zh-CN"/>
        </w:rPr>
        <w:t>医院篮球场旁，两层板房第一间</w:t>
      </w:r>
      <w:r>
        <w:rPr>
          <w:rFonts w:hint="eastAsia" w:ascii="宋体" w:hAnsi="宋体" w:cs="仿宋_GB2312"/>
          <w:sz w:val="24"/>
          <w:szCs w:val="24"/>
          <w:lang w:eastAsia="zh-CN"/>
        </w:rPr>
        <w:t>）</w:t>
      </w:r>
      <w:r>
        <w:rPr>
          <w:rFonts w:hint="eastAsia" w:ascii="宋体" w:hAnsi="宋体" w:cs="仿宋_GB2312"/>
          <w:sz w:val="24"/>
          <w:szCs w:val="24"/>
        </w:rPr>
        <w:t>。</w:t>
      </w:r>
    </w:p>
    <w:p w14:paraId="6D45B460">
      <w:pPr>
        <w:spacing w:line="560" w:lineRule="exact"/>
        <w:ind w:firstLine="480" w:firstLineChars="200"/>
        <w:rPr>
          <w:rFonts w:hint="eastAsia" w:ascii="宋体" w:hAnsi="宋体" w:cs="仿宋_GB2312"/>
          <w:sz w:val="24"/>
          <w:szCs w:val="24"/>
        </w:rPr>
      </w:pPr>
      <w:r>
        <w:rPr>
          <w:rFonts w:hint="eastAsia" w:ascii="宋体" w:hAnsi="宋体" w:cs="仿宋_GB2312"/>
          <w:sz w:val="24"/>
          <w:szCs w:val="24"/>
        </w:rPr>
        <w:t>2、报价资料需按照医院要求格式报价。（附件2）</w:t>
      </w:r>
    </w:p>
    <w:p w14:paraId="3472BAC9">
      <w:pPr>
        <w:spacing w:line="360" w:lineRule="auto"/>
        <w:ind w:firstLine="480" w:firstLineChars="200"/>
        <w:rPr>
          <w:rFonts w:hint="eastAsia" w:ascii="宋体" w:hAnsi="宋体" w:cs="仿宋_GB2312"/>
          <w:sz w:val="24"/>
          <w:szCs w:val="24"/>
        </w:rPr>
      </w:pPr>
      <w:r>
        <w:rPr>
          <w:rFonts w:hint="eastAsia" w:ascii="宋体" w:hAnsi="宋体" w:cs="仿宋_GB2312"/>
          <w:sz w:val="24"/>
          <w:szCs w:val="24"/>
        </w:rPr>
        <w:t>3、提供电子版报价资料和相关服务</w:t>
      </w:r>
      <w:r>
        <w:rPr>
          <w:rFonts w:hint="eastAsia" w:ascii="宋体" w:hAnsi="宋体" w:cs="仿宋_GB2312"/>
          <w:sz w:val="24"/>
          <w:szCs w:val="24"/>
          <w:lang w:eastAsia="zh-CN"/>
        </w:rPr>
        <w:t>方案</w:t>
      </w:r>
      <w:r>
        <w:rPr>
          <w:rFonts w:hint="eastAsia" w:ascii="宋体" w:hAnsi="宋体" w:cs="仿宋_GB2312"/>
          <w:sz w:val="24"/>
          <w:szCs w:val="24"/>
        </w:rPr>
        <w:t>简介资料，</w:t>
      </w:r>
      <w:r>
        <w:rPr>
          <w:rFonts w:hint="eastAsia" w:ascii="宋体" w:hAnsi="宋体" w:cs="仿宋_GB2312"/>
          <w:sz w:val="24"/>
          <w:szCs w:val="24"/>
          <w:lang w:eastAsia="zh-CN"/>
        </w:rPr>
        <w:t>可优化和细化功能参数，</w:t>
      </w:r>
      <w:r>
        <w:rPr>
          <w:rFonts w:hint="eastAsia" w:ascii="宋体" w:hAnsi="宋体" w:cs="仿宋_GB2312"/>
          <w:sz w:val="24"/>
          <w:szCs w:val="24"/>
        </w:rPr>
        <w:t>以便医院甄选使用（</w:t>
      </w:r>
      <w:r>
        <w:rPr>
          <w:rFonts w:hint="eastAsia" w:ascii="宋体" w:hAnsi="宋体" w:cs="仿宋_GB2312"/>
          <w:color w:val="auto"/>
          <w:sz w:val="24"/>
          <w:szCs w:val="24"/>
        </w:rPr>
        <w:t>U盘密封递交</w:t>
      </w:r>
      <w:r>
        <w:rPr>
          <w:rFonts w:hint="eastAsia" w:ascii="宋体" w:hAnsi="宋体" w:cs="仿宋_GB2312"/>
          <w:color w:val="auto"/>
          <w:sz w:val="24"/>
          <w:szCs w:val="24"/>
          <w:lang w:eastAsia="zh-CN"/>
        </w:rPr>
        <w:t>，本项目无需</w:t>
      </w:r>
      <w:r>
        <w:rPr>
          <w:rFonts w:hint="eastAsia" w:ascii="宋体" w:hAnsi="宋体" w:cs="仿宋_GB2312"/>
          <w:sz w:val="24"/>
          <w:szCs w:val="24"/>
        </w:rPr>
        <w:t>）</w:t>
      </w:r>
    </w:p>
    <w:p w14:paraId="11D4DA37">
      <w:pPr>
        <w:spacing w:line="360" w:lineRule="auto"/>
        <w:ind w:firstLine="480" w:firstLineChars="200"/>
        <w:rPr>
          <w:rFonts w:hint="eastAsia" w:hAnsi="宋体" w:cs="仿宋_GB2312"/>
          <w:sz w:val="24"/>
          <w:szCs w:val="24"/>
        </w:rPr>
      </w:pPr>
      <w:r>
        <w:rPr>
          <w:rFonts w:hint="eastAsia" w:hAnsi="宋体" w:cs="仿宋_GB2312"/>
          <w:sz w:val="24"/>
          <w:szCs w:val="24"/>
        </w:rPr>
        <w:t xml:space="preserve">4、参与供应商应符合《政府采购法》第二十二条的相关资质要求，具备相关资质。并提供相关证明材料或承诺函。 </w:t>
      </w:r>
    </w:p>
    <w:p w14:paraId="18720D96">
      <w:pPr>
        <w:spacing w:line="360" w:lineRule="auto"/>
        <w:ind w:firstLine="480" w:firstLineChars="200"/>
        <w:rPr>
          <w:rFonts w:hAnsi="宋体"/>
          <w:sz w:val="24"/>
          <w:szCs w:val="24"/>
        </w:rPr>
      </w:pPr>
      <w:r>
        <w:rPr>
          <w:rFonts w:hint="eastAsia" w:hAnsi="宋体"/>
          <w:sz w:val="24"/>
          <w:szCs w:val="24"/>
        </w:rPr>
        <w:t>5、拟参与本项目的供应商如需了解项目情况，自行对接该项目负责人了解相关信息。</w:t>
      </w:r>
    </w:p>
    <w:p w14:paraId="053AA85D">
      <w:pPr>
        <w:pStyle w:val="2"/>
        <w:ind w:firstLine="480" w:firstLineChars="200"/>
      </w:pPr>
      <w:r>
        <w:rPr>
          <w:rFonts w:hint="eastAsia" w:hAnsi="宋体" w:cs="仿宋_GB2312"/>
          <w:sz w:val="24"/>
          <w:szCs w:val="24"/>
        </w:rPr>
        <w:t>6、所有递交资料及相关证明材料必须加盖供应商鲜章有效。</w:t>
      </w:r>
    </w:p>
    <w:p w14:paraId="53F6BAEA">
      <w:pPr>
        <w:spacing w:line="480" w:lineRule="auto"/>
        <w:rPr>
          <w:b/>
          <w:bCs/>
          <w:sz w:val="32"/>
          <w:szCs w:val="32"/>
        </w:rPr>
      </w:pPr>
      <w:r>
        <w:rPr>
          <w:rFonts w:hint="eastAsia" w:ascii="宋体" w:hAnsi="宋体" w:cs="仿宋_GB2312"/>
          <w:b/>
          <w:bCs/>
          <w:sz w:val="32"/>
          <w:szCs w:val="32"/>
        </w:rPr>
        <w:t>三、本次公开询价结果只作为本项目采购预算价，不作为成交价。</w:t>
      </w:r>
    </w:p>
    <w:p w14:paraId="08556C05">
      <w:pPr>
        <w:spacing w:line="480" w:lineRule="auto"/>
        <w:rPr>
          <w:rFonts w:hint="eastAsia" w:ascii="宋体" w:hAnsi="宋体" w:cs="仿宋_GB2312"/>
          <w:b/>
          <w:bCs/>
          <w:sz w:val="32"/>
          <w:szCs w:val="32"/>
        </w:rPr>
      </w:pPr>
      <w:r>
        <w:rPr>
          <w:rFonts w:hint="eastAsia" w:ascii="宋体" w:hAnsi="宋体" w:cs="仿宋_GB2312"/>
          <w:b/>
          <w:bCs/>
          <w:sz w:val="32"/>
          <w:szCs w:val="32"/>
        </w:rPr>
        <w:t>四、其他事项</w:t>
      </w:r>
    </w:p>
    <w:p w14:paraId="68FD5C6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仿宋_GB2312"/>
          <w:color w:val="000000" w:themeColor="text1"/>
          <w:sz w:val="24"/>
          <w:szCs w:val="24"/>
          <w:lang w:val="en-US" w:eastAsia="zh-CN"/>
          <w14:textFill>
            <w14:solidFill>
              <w14:schemeClr w14:val="tx1"/>
            </w14:solidFill>
          </w14:textFill>
        </w:rPr>
      </w:pPr>
      <w:bookmarkStart w:id="1" w:name="_Toc20249"/>
      <w:bookmarkStart w:id="2" w:name="_Toc20665"/>
      <w:r>
        <w:rPr>
          <w:rFonts w:hint="eastAsia" w:ascii="宋体" w:hAnsi="宋体" w:eastAsia="宋体" w:cs="仿宋_GB2312"/>
          <w:color w:val="000000" w:themeColor="text1"/>
          <w:sz w:val="24"/>
          <w:szCs w:val="24"/>
          <w:lang w:val="en-US" w:eastAsia="zh-CN"/>
          <w14:textFill>
            <w14:solidFill>
              <w14:schemeClr w14:val="tx1"/>
            </w14:solidFill>
          </w14:textFill>
        </w:rPr>
        <w:t>1、报名资料接收时间：（2024年</w:t>
      </w:r>
      <w:r>
        <w:rPr>
          <w:rFonts w:hint="eastAsia" w:ascii="宋体" w:hAnsi="宋体" w:cs="仿宋_GB2312"/>
          <w:color w:val="000000" w:themeColor="text1"/>
          <w:sz w:val="24"/>
          <w:szCs w:val="24"/>
          <w:lang w:val="en-US" w:eastAsia="zh-CN"/>
          <w14:textFill>
            <w14:solidFill>
              <w14:schemeClr w14:val="tx1"/>
            </w14:solidFill>
          </w14:textFill>
        </w:rPr>
        <w:t>11</w:t>
      </w:r>
      <w:r>
        <w:rPr>
          <w:rFonts w:hint="eastAsia" w:ascii="宋体" w:hAnsi="宋体" w:eastAsia="宋体" w:cs="仿宋_GB2312"/>
          <w:color w:val="000000" w:themeColor="text1"/>
          <w:sz w:val="24"/>
          <w:szCs w:val="24"/>
          <w:lang w:val="en-US" w:eastAsia="zh-CN"/>
          <w14:textFill>
            <w14:solidFill>
              <w14:schemeClr w14:val="tx1"/>
            </w14:solidFill>
          </w14:textFill>
        </w:rPr>
        <w:t>月</w:t>
      </w:r>
      <w:r>
        <w:rPr>
          <w:rFonts w:hint="eastAsia" w:ascii="宋体" w:hAnsi="宋体" w:cs="仿宋_GB2312"/>
          <w:color w:val="000000" w:themeColor="text1"/>
          <w:sz w:val="24"/>
          <w:szCs w:val="24"/>
          <w:lang w:val="en-US" w:eastAsia="zh-CN"/>
          <w14:textFill>
            <w14:solidFill>
              <w14:schemeClr w14:val="tx1"/>
            </w14:solidFill>
          </w14:textFill>
        </w:rPr>
        <w:t>19</w:t>
      </w:r>
      <w:r>
        <w:rPr>
          <w:rFonts w:hint="eastAsia" w:ascii="宋体" w:hAnsi="宋体" w:eastAsia="宋体" w:cs="仿宋_GB2312"/>
          <w:color w:val="000000" w:themeColor="text1"/>
          <w:sz w:val="24"/>
          <w:szCs w:val="24"/>
          <w:lang w:val="en-US" w:eastAsia="zh-CN"/>
          <w14:textFill>
            <w14:solidFill>
              <w14:schemeClr w14:val="tx1"/>
            </w14:solidFill>
          </w14:textFill>
        </w:rPr>
        <w:t>日-2024年</w:t>
      </w:r>
      <w:r>
        <w:rPr>
          <w:rFonts w:hint="eastAsia" w:ascii="宋体" w:hAnsi="宋体" w:cs="仿宋_GB2312"/>
          <w:color w:val="000000" w:themeColor="text1"/>
          <w:sz w:val="24"/>
          <w:szCs w:val="24"/>
          <w:lang w:val="en-US" w:eastAsia="zh-CN"/>
          <w14:textFill>
            <w14:solidFill>
              <w14:schemeClr w14:val="tx1"/>
            </w14:solidFill>
          </w14:textFill>
        </w:rPr>
        <w:t>11</w:t>
      </w:r>
      <w:r>
        <w:rPr>
          <w:rFonts w:hint="eastAsia" w:ascii="宋体" w:hAnsi="宋体" w:eastAsia="宋体" w:cs="仿宋_GB2312"/>
          <w:color w:val="000000" w:themeColor="text1"/>
          <w:sz w:val="24"/>
          <w:szCs w:val="24"/>
          <w:lang w:val="en-US" w:eastAsia="zh-CN"/>
          <w14:textFill>
            <w14:solidFill>
              <w14:schemeClr w14:val="tx1"/>
            </w14:solidFill>
          </w14:textFill>
        </w:rPr>
        <w:t>月</w:t>
      </w:r>
      <w:r>
        <w:rPr>
          <w:rFonts w:hint="eastAsia" w:ascii="宋体" w:hAnsi="宋体" w:cs="仿宋_GB2312"/>
          <w:color w:val="000000" w:themeColor="text1"/>
          <w:sz w:val="24"/>
          <w:szCs w:val="24"/>
          <w:lang w:val="en-US" w:eastAsia="zh-CN"/>
          <w14:textFill>
            <w14:solidFill>
              <w14:schemeClr w14:val="tx1"/>
            </w14:solidFill>
          </w14:textFill>
        </w:rPr>
        <w:t>22</w:t>
      </w:r>
      <w:r>
        <w:rPr>
          <w:rFonts w:hint="eastAsia" w:ascii="宋体" w:hAnsi="宋体" w:eastAsia="宋体" w:cs="仿宋_GB2312"/>
          <w:color w:val="000000" w:themeColor="text1"/>
          <w:sz w:val="24"/>
          <w:szCs w:val="24"/>
          <w:lang w:val="en-US" w:eastAsia="zh-CN"/>
          <w14:textFill>
            <w14:solidFill>
              <w14:schemeClr w14:val="tx1"/>
            </w14:solidFill>
          </w14:textFill>
        </w:rPr>
        <w:t>日工作时间9:00-16:00；文件接收截止日期：2024年</w:t>
      </w:r>
      <w:r>
        <w:rPr>
          <w:rFonts w:hint="eastAsia" w:ascii="宋体" w:hAnsi="宋体" w:cs="仿宋_GB2312"/>
          <w:color w:val="000000" w:themeColor="text1"/>
          <w:sz w:val="24"/>
          <w:szCs w:val="24"/>
          <w:lang w:val="en-US" w:eastAsia="zh-CN"/>
          <w14:textFill>
            <w14:solidFill>
              <w14:schemeClr w14:val="tx1"/>
            </w14:solidFill>
          </w14:textFill>
        </w:rPr>
        <w:t xml:space="preserve"> 11</w:t>
      </w:r>
      <w:r>
        <w:rPr>
          <w:rFonts w:hint="eastAsia" w:ascii="宋体" w:hAnsi="宋体" w:eastAsia="宋体" w:cs="仿宋_GB2312"/>
          <w:color w:val="000000" w:themeColor="text1"/>
          <w:sz w:val="24"/>
          <w:szCs w:val="24"/>
          <w:lang w:val="en-US" w:eastAsia="zh-CN"/>
          <w14:textFill>
            <w14:solidFill>
              <w14:schemeClr w14:val="tx1"/>
            </w14:solidFill>
          </w14:textFill>
        </w:rPr>
        <w:t>月</w:t>
      </w:r>
      <w:r>
        <w:rPr>
          <w:rFonts w:hint="eastAsia" w:ascii="宋体" w:hAnsi="宋体" w:cs="仿宋_GB2312"/>
          <w:color w:val="000000" w:themeColor="text1"/>
          <w:sz w:val="24"/>
          <w:szCs w:val="24"/>
          <w:lang w:val="en-US" w:eastAsia="zh-CN"/>
          <w14:textFill>
            <w14:solidFill>
              <w14:schemeClr w14:val="tx1"/>
            </w14:solidFill>
          </w14:textFill>
        </w:rPr>
        <w:t>25</w:t>
      </w:r>
      <w:r>
        <w:rPr>
          <w:rFonts w:hint="eastAsia" w:ascii="宋体" w:hAnsi="宋体" w:eastAsia="宋体" w:cs="仿宋_GB2312"/>
          <w:color w:val="000000" w:themeColor="text1"/>
          <w:sz w:val="24"/>
          <w:szCs w:val="24"/>
          <w:lang w:val="en-US" w:eastAsia="zh-CN"/>
          <w14:textFill>
            <w14:solidFill>
              <w14:schemeClr w14:val="tx1"/>
            </w14:solidFill>
          </w14:textFill>
        </w:rPr>
        <w:t>日16：00）递交</w:t>
      </w:r>
      <w:r>
        <w:rPr>
          <w:rFonts w:hint="eastAsia" w:ascii="宋体" w:hAnsi="宋体" w:cs="仿宋_GB2312"/>
          <w:color w:val="000000" w:themeColor="text1"/>
          <w:sz w:val="24"/>
          <w:szCs w:val="24"/>
          <w:highlight w:val="none"/>
          <w14:textFill>
            <w14:solidFill>
              <w14:schemeClr w14:val="tx1"/>
            </w14:solidFill>
          </w14:textFill>
        </w:rPr>
        <w:t>资料人员须为法人</w:t>
      </w:r>
      <w:r>
        <w:rPr>
          <w:rFonts w:hint="eastAsia" w:ascii="宋体" w:hAnsi="宋体" w:cs="仿宋_GB2312"/>
          <w:color w:val="000000" w:themeColor="text1"/>
          <w:sz w:val="24"/>
          <w:szCs w:val="24"/>
          <w14:textFill>
            <w14:solidFill>
              <w14:schemeClr w14:val="tx1"/>
            </w14:solidFill>
          </w14:textFill>
        </w:rPr>
        <w:t>或授权委托人并提供证明文件查看。</w:t>
      </w:r>
      <w:r>
        <w:rPr>
          <w:rFonts w:hint="eastAsia" w:ascii="宋体" w:hAnsi="宋体" w:cs="仿宋_GB2312"/>
          <w:color w:val="000000" w:themeColor="text1"/>
          <w:sz w:val="24"/>
          <w:szCs w:val="24"/>
          <w:lang w:eastAsia="zh-CN"/>
          <w14:textFill>
            <w14:solidFill>
              <w14:schemeClr w14:val="tx1"/>
            </w14:solidFill>
          </w14:textFill>
        </w:rPr>
        <w:t>报名登记表见附件</w:t>
      </w:r>
      <w:r>
        <w:rPr>
          <w:rFonts w:hint="eastAsia" w:ascii="宋体" w:hAnsi="宋体" w:cs="仿宋_GB2312"/>
          <w:color w:val="000000" w:themeColor="text1"/>
          <w:sz w:val="24"/>
          <w:szCs w:val="24"/>
          <w:lang w:val="en-US" w:eastAsia="zh-CN"/>
          <w14:textFill>
            <w14:solidFill>
              <w14:schemeClr w14:val="tx1"/>
            </w14:solidFill>
          </w14:textFill>
        </w:rPr>
        <w:t>3。</w:t>
      </w:r>
    </w:p>
    <w:p w14:paraId="454F155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仿宋_GB2312"/>
          <w:color w:val="000000" w:themeColor="text1"/>
          <w:sz w:val="24"/>
          <w:szCs w:val="24"/>
          <w14:textFill>
            <w14:solidFill>
              <w14:schemeClr w14:val="tx1"/>
            </w14:solidFill>
          </w14:textFill>
        </w:rPr>
      </w:pPr>
      <w:r>
        <w:rPr>
          <w:rFonts w:hint="eastAsia" w:ascii="宋体" w:hAnsi="宋体" w:cs="仿宋_GB2312"/>
          <w:color w:val="000000" w:themeColor="text1"/>
          <w:sz w:val="24"/>
          <w:szCs w:val="24"/>
          <w:lang w:val="en-US" w:eastAsia="zh-CN"/>
          <w14:textFill>
            <w14:solidFill>
              <w14:schemeClr w14:val="tx1"/>
            </w14:solidFill>
          </w14:textFill>
        </w:rPr>
        <w:t>2</w:t>
      </w:r>
      <w:r>
        <w:rPr>
          <w:rFonts w:hint="eastAsia" w:ascii="宋体" w:hAnsi="宋体" w:cs="仿宋_GB2312"/>
          <w:color w:val="000000" w:themeColor="text1"/>
          <w:sz w:val="24"/>
          <w:szCs w:val="24"/>
          <w14:textFill>
            <w14:solidFill>
              <w14:schemeClr w14:val="tx1"/>
            </w14:solidFill>
          </w14:textFill>
        </w:rPr>
        <w:t>、公示人：成都市新津区中医医院 地址：成都市新津区西创大道1389号</w:t>
      </w:r>
    </w:p>
    <w:p w14:paraId="6ACB46AD">
      <w:pPr>
        <w:spacing w:line="480" w:lineRule="auto"/>
        <w:ind w:firstLine="480" w:firstLineChars="200"/>
        <w:rPr>
          <w:rFonts w:ascii="宋体" w:hAnsi="宋体" w:cs="方正小标宋简体"/>
          <w:bCs/>
          <w:sz w:val="36"/>
          <w:szCs w:val="36"/>
        </w:rPr>
      </w:pPr>
      <w:r>
        <w:rPr>
          <w:rFonts w:hint="eastAsia" w:ascii="宋体" w:hAnsi="宋体" w:cs="仿宋_GB2312"/>
          <w:color w:val="000000" w:themeColor="text1"/>
          <w:sz w:val="24"/>
          <w:szCs w:val="24"/>
          <w:lang w:val="en-US" w:eastAsia="zh-CN"/>
          <w14:textFill>
            <w14:solidFill>
              <w14:schemeClr w14:val="tx1"/>
            </w14:solidFill>
          </w14:textFill>
        </w:rPr>
        <w:t>3</w:t>
      </w:r>
      <w:r>
        <w:rPr>
          <w:rFonts w:hint="eastAsia" w:ascii="宋体" w:hAnsi="宋体" w:cs="仿宋_GB2312"/>
          <w:color w:val="000000" w:themeColor="text1"/>
          <w:sz w:val="24"/>
          <w:szCs w:val="24"/>
          <w14:textFill>
            <w14:solidFill>
              <w14:schemeClr w14:val="tx1"/>
            </w14:solidFill>
          </w14:textFill>
        </w:rPr>
        <w:t>、报名联系人：</w:t>
      </w:r>
      <w:r>
        <w:rPr>
          <w:rFonts w:hint="eastAsia" w:ascii="宋体" w:hAnsi="宋体" w:cs="仿宋_GB2312"/>
          <w:color w:val="000000" w:themeColor="text1"/>
          <w:sz w:val="24"/>
          <w:szCs w:val="24"/>
          <w:lang w:eastAsia="zh-CN"/>
          <w14:textFill>
            <w14:solidFill>
              <w14:schemeClr w14:val="tx1"/>
            </w14:solidFill>
          </w14:textFill>
        </w:rPr>
        <w:t>潘</w:t>
      </w:r>
      <w:r>
        <w:rPr>
          <w:rFonts w:hint="eastAsia" w:ascii="宋体" w:hAnsi="宋体" w:cs="仿宋_GB2312"/>
          <w:color w:val="000000" w:themeColor="text1"/>
          <w:sz w:val="24"/>
          <w:szCs w:val="24"/>
          <w14:textFill>
            <w14:solidFill>
              <w14:schemeClr w14:val="tx1"/>
            </w14:solidFill>
          </w14:textFill>
        </w:rPr>
        <w:t>老师</w:t>
      </w:r>
      <w:r>
        <w:rPr>
          <w:rFonts w:hint="eastAsia" w:ascii="宋体" w:hAnsi="宋体" w:cs="仿宋_GB2312"/>
          <w:color w:val="000000" w:themeColor="text1"/>
          <w:sz w:val="24"/>
          <w:szCs w:val="24"/>
          <w:lang w:eastAsia="zh-CN"/>
          <w14:textFill>
            <w14:solidFill>
              <w14:schemeClr w14:val="tx1"/>
            </w14:solidFill>
          </w14:textFill>
        </w:rPr>
        <w:t>、王老师</w:t>
      </w:r>
      <w:r>
        <w:rPr>
          <w:rFonts w:hint="eastAsia" w:ascii="宋体" w:hAnsi="宋体" w:cs="仿宋_GB2312"/>
          <w:color w:val="000000" w:themeColor="text1"/>
          <w:sz w:val="24"/>
          <w:szCs w:val="24"/>
          <w14:textFill>
            <w14:solidFill>
              <w14:schemeClr w14:val="tx1"/>
            </w14:solidFill>
          </w14:textFill>
        </w:rPr>
        <w:t xml:space="preserve">028-82526150  </w:t>
      </w:r>
      <w:r>
        <w:rPr>
          <w:rFonts w:hint="eastAsia" w:hAnsi="宋体" w:cs="仿宋_GB2312"/>
          <w:color w:val="000000" w:themeColor="text1"/>
          <w:sz w:val="24"/>
          <w:szCs w:val="24"/>
          <w14:textFill>
            <w14:solidFill>
              <w14:schemeClr w14:val="tx1"/>
            </w14:solidFill>
          </w14:textFill>
        </w:rPr>
        <w:t>项目咨询联系人：周老师，</w:t>
      </w:r>
      <w:r>
        <w:rPr>
          <w:rFonts w:hint="eastAsia" w:hAnsi="宋体" w:cs="仿宋_GB2312"/>
          <w:sz w:val="24"/>
          <w:szCs w:val="24"/>
        </w:rPr>
        <w:t>18215605686</w:t>
      </w:r>
    </w:p>
    <w:p w14:paraId="56EC0838">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eastAsia="宋体"/>
          <w:lang w:val="en-US" w:eastAsia="zh-CN"/>
        </w:rPr>
      </w:pPr>
      <w:r>
        <w:rPr>
          <w:rFonts w:hint="eastAsia" w:ascii="宋体" w:hAnsi="宋体" w:eastAsia="宋体" w:cs="仿宋_GB2312"/>
          <w:kern w:val="2"/>
          <w:sz w:val="24"/>
          <w:szCs w:val="24"/>
          <w:lang w:val="en-US" w:eastAsia="zh-CN" w:bidi="ar-SA"/>
        </w:rPr>
        <w:t>4、报名供应商可通过邮箱</w:t>
      </w:r>
      <w:r>
        <w:rPr>
          <w:rFonts w:hint="eastAsia" w:ascii="宋体" w:hAnsi="宋体" w:cs="仿宋_GB2312"/>
          <w:kern w:val="2"/>
          <w:sz w:val="24"/>
          <w:szCs w:val="24"/>
          <w:lang w:val="en-US" w:eastAsia="zh-CN" w:bidi="ar-SA"/>
        </w:rPr>
        <w:t>570655548</w:t>
      </w:r>
      <w:r>
        <w:rPr>
          <w:rFonts w:hint="eastAsia" w:ascii="宋体" w:hAnsi="宋体" w:eastAsia="宋体" w:cs="仿宋_GB2312"/>
          <w:kern w:val="2"/>
          <w:sz w:val="24"/>
          <w:szCs w:val="24"/>
          <w:lang w:val="en-US" w:eastAsia="zh-CN" w:bidi="ar-SA"/>
        </w:rPr>
        <w:t>@qq.com报名。报名需提交报名登记表及登记表要求的相关资质资料（盖公章）。</w:t>
      </w:r>
    </w:p>
    <w:p w14:paraId="0810B193">
      <w:pPr>
        <w:numPr>
          <w:ilvl w:val="0"/>
          <w:numId w:val="0"/>
        </w:numPr>
        <w:spacing w:line="560" w:lineRule="exact"/>
        <w:rPr>
          <w:rFonts w:hint="eastAsia" w:ascii="宋体" w:hAnsi="宋体" w:cs="仿宋_GB2312"/>
          <w:b/>
          <w:bCs/>
          <w:sz w:val="32"/>
          <w:szCs w:val="32"/>
          <w:lang w:val="en-US" w:eastAsia="zh-CN"/>
        </w:rPr>
      </w:pPr>
      <w:r>
        <w:rPr>
          <w:rFonts w:hint="eastAsia" w:ascii="宋体" w:hAnsi="宋体" w:cs="仿宋_GB2312"/>
          <w:b/>
          <w:bCs/>
          <w:sz w:val="32"/>
          <w:szCs w:val="32"/>
          <w:lang w:val="en-US" w:eastAsia="zh-CN"/>
        </w:rPr>
        <w:t>附件1：采购需求</w:t>
      </w:r>
    </w:p>
    <w:p w14:paraId="52221E34">
      <w:pPr>
        <w:spacing w:line="560" w:lineRule="exact"/>
        <w:ind w:firstLine="480" w:firstLineChars="200"/>
        <w:rPr>
          <w:rFonts w:hint="eastAsia" w:ascii="宋体" w:hAnsi="宋体" w:eastAsia="宋体" w:cs="仿宋_GB2312"/>
          <w:b w:val="0"/>
          <w:bCs w:val="0"/>
          <w:sz w:val="24"/>
          <w:szCs w:val="24"/>
          <w:lang w:val="en-US" w:eastAsia="zh-CN"/>
        </w:rPr>
      </w:pPr>
      <w:r>
        <w:rPr>
          <w:rFonts w:hint="eastAsia" w:ascii="宋体" w:hAnsi="宋体" w:eastAsia="宋体" w:cs="仿宋_GB2312"/>
          <w:b w:val="0"/>
          <w:bCs w:val="0"/>
          <w:sz w:val="24"/>
          <w:szCs w:val="24"/>
          <w:lang w:val="en-US" w:eastAsia="zh-CN"/>
        </w:rPr>
        <w:t>以辨证施护为特色，以中医特色护理‘辨证施护’为基础，满足获取到中医特色护理服务中产生的相关护理数据，形成规范的中医护理数据。支持中医护理全程信息记录与行为分析，生成补充和完善中医护理过程中的护理数据；同时满足升级后系统具备可将医嘱执行数据、护理措施执行数据、患者危急值数据，患者体征异常数据自动同步给护理记录单，实现护理类数据共享，生成护理文书与相应的护理表单。</w:t>
      </w:r>
    </w:p>
    <w:p w14:paraId="27D12A2B">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仿宋_GB2312"/>
          <w:b/>
          <w:bCs/>
          <w:color w:val="000000" w:themeColor="text1"/>
          <w:sz w:val="24"/>
          <w:szCs w:val="24"/>
          <w:lang w:val="en-US" w:eastAsia="zh-CN"/>
          <w14:textFill>
            <w14:solidFill>
              <w14:schemeClr w14:val="tx1"/>
            </w14:solidFill>
          </w14:textFill>
        </w:rPr>
      </w:pPr>
      <w:r>
        <w:rPr>
          <w:rFonts w:hint="eastAsia" w:ascii="宋体" w:hAnsi="宋体" w:eastAsia="宋体" w:cs="仿宋_GB2312"/>
          <w:b/>
          <w:bCs/>
          <w:color w:val="000000" w:themeColor="text1"/>
          <w:sz w:val="24"/>
          <w:szCs w:val="24"/>
          <w:lang w:val="en-US" w:eastAsia="zh-CN"/>
          <w14:textFill>
            <w14:solidFill>
              <w14:schemeClr w14:val="tx1"/>
            </w14:solidFill>
          </w14:textFill>
        </w:rPr>
        <w:t>具体工作内容清单：</w:t>
      </w:r>
    </w:p>
    <w:p w14:paraId="19232924">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仿宋_GB2312"/>
          <w:b/>
          <w:bCs/>
          <w:color w:val="000000" w:themeColor="text1"/>
          <w:sz w:val="24"/>
          <w:szCs w:val="24"/>
          <w:lang w:val="en-US" w:eastAsia="zh-CN"/>
          <w14:textFill>
            <w14:solidFill>
              <w14:schemeClr w14:val="tx1"/>
            </w14:solidFill>
          </w14:textFill>
        </w:rPr>
      </w:pPr>
      <w:r>
        <w:rPr>
          <w:rFonts w:hint="eastAsia" w:ascii="宋体" w:hAnsi="宋体" w:cs="仿宋_GB2312"/>
          <w:b/>
          <w:bCs/>
          <w:color w:val="000000" w:themeColor="text1"/>
          <w:sz w:val="24"/>
          <w:szCs w:val="24"/>
          <w:lang w:val="en-US" w:eastAsia="zh-CN"/>
          <w14:textFill>
            <w14:solidFill>
              <w14:schemeClr w14:val="tx1"/>
            </w14:solidFill>
          </w14:textFill>
        </w:rPr>
        <w:t>(一）</w:t>
      </w:r>
      <w:r>
        <w:rPr>
          <w:rFonts w:hint="eastAsia" w:ascii="宋体" w:hAnsi="宋体" w:eastAsia="宋体" w:cs="仿宋_GB2312"/>
          <w:b/>
          <w:bCs/>
          <w:color w:val="000000" w:themeColor="text1"/>
          <w:sz w:val="24"/>
          <w:szCs w:val="24"/>
          <w:lang w:val="en-US" w:eastAsia="zh-CN"/>
          <w14:textFill>
            <w14:solidFill>
              <w14:schemeClr w14:val="tx1"/>
            </w14:solidFill>
          </w14:textFill>
        </w:rPr>
        <w:t>护理质量控制管理模块</w:t>
      </w:r>
    </w:p>
    <w:p w14:paraId="7BFF0FA3">
      <w:pPr>
        <w:spacing w:line="560" w:lineRule="exact"/>
        <w:ind w:firstLine="480" w:firstLineChars="200"/>
        <w:rPr>
          <w:rFonts w:hint="eastAsia" w:ascii="宋体" w:hAnsi="宋体" w:eastAsia="宋体" w:cs="仿宋_GB2312"/>
          <w:b w:val="0"/>
          <w:bCs w:val="0"/>
          <w:sz w:val="24"/>
          <w:szCs w:val="24"/>
          <w:lang w:val="en-US" w:eastAsia="zh-CN"/>
        </w:rPr>
      </w:pPr>
      <w:r>
        <w:rPr>
          <w:rFonts w:hint="eastAsia" w:ascii="宋体" w:hAnsi="宋体" w:eastAsia="宋体" w:cs="仿宋_GB2312"/>
          <w:b w:val="0"/>
          <w:bCs w:val="0"/>
          <w:sz w:val="24"/>
          <w:szCs w:val="24"/>
          <w:lang w:val="en-US" w:eastAsia="zh-CN"/>
        </w:rPr>
        <w:t>1.支持以护理部、科护士长、护士长三级管理模式对护理质量进行查询分析管控，具备在移动端（支持但不限于安卓、 Window等操作系统），自动同步质控任务功能。</w:t>
      </w:r>
    </w:p>
    <w:p w14:paraId="2EC19CB8">
      <w:pPr>
        <w:spacing w:line="560" w:lineRule="exact"/>
        <w:ind w:firstLine="480" w:firstLineChars="200"/>
        <w:rPr>
          <w:rFonts w:hint="eastAsia" w:ascii="宋体" w:hAnsi="宋体" w:eastAsia="宋体" w:cs="仿宋_GB2312"/>
          <w:b w:val="0"/>
          <w:bCs w:val="0"/>
          <w:sz w:val="24"/>
          <w:szCs w:val="24"/>
          <w:lang w:val="en-US" w:eastAsia="zh-CN"/>
        </w:rPr>
      </w:pPr>
      <w:r>
        <w:rPr>
          <w:rFonts w:hint="eastAsia" w:ascii="宋体" w:hAnsi="宋体" w:eastAsia="宋体" w:cs="仿宋_GB2312"/>
          <w:b w:val="0"/>
          <w:bCs w:val="0"/>
          <w:sz w:val="24"/>
          <w:szCs w:val="24"/>
          <w:lang w:val="en-US" w:eastAsia="zh-CN"/>
        </w:rPr>
        <w:t>2.支持护理表单的设定功能、具备护理质控检查结果登记功能、具备与移动端结合，对检查结果使用相关统计工具进行分析</w:t>
      </w:r>
    </w:p>
    <w:p w14:paraId="14D8A5EF">
      <w:pPr>
        <w:spacing w:line="560" w:lineRule="exact"/>
        <w:ind w:firstLine="480" w:firstLineChars="200"/>
        <w:rPr>
          <w:rFonts w:hint="eastAsia" w:ascii="宋体" w:hAnsi="宋体" w:eastAsia="宋体" w:cs="仿宋_GB2312"/>
          <w:b w:val="0"/>
          <w:bCs w:val="0"/>
          <w:sz w:val="24"/>
          <w:szCs w:val="24"/>
          <w:lang w:val="en-US" w:eastAsia="zh-CN"/>
        </w:rPr>
      </w:pPr>
      <w:r>
        <w:rPr>
          <w:rFonts w:hint="eastAsia" w:ascii="宋体" w:hAnsi="宋体" w:eastAsia="宋体" w:cs="仿宋_GB2312"/>
          <w:b w:val="0"/>
          <w:bCs w:val="0"/>
          <w:sz w:val="24"/>
          <w:szCs w:val="24"/>
          <w:lang w:val="en-US" w:eastAsia="zh-CN"/>
        </w:rPr>
        <w:t>3.具备质控检查任务超时提醒。具备新增计划外质控检查任务。具备质控检查结果导出打印。</w:t>
      </w:r>
    </w:p>
    <w:p w14:paraId="69477FE5">
      <w:pPr>
        <w:spacing w:line="560" w:lineRule="exact"/>
        <w:ind w:firstLine="480" w:firstLineChars="200"/>
        <w:rPr>
          <w:rFonts w:hint="eastAsia" w:ascii="宋体" w:hAnsi="宋体" w:eastAsia="宋体" w:cs="仿宋_GB2312"/>
          <w:b w:val="0"/>
          <w:bCs w:val="0"/>
          <w:sz w:val="24"/>
          <w:szCs w:val="24"/>
          <w:lang w:val="en-US" w:eastAsia="zh-CN"/>
        </w:rPr>
      </w:pPr>
      <w:r>
        <w:rPr>
          <w:rFonts w:hint="eastAsia" w:ascii="宋体" w:hAnsi="宋体" w:eastAsia="宋体" w:cs="仿宋_GB2312"/>
          <w:b w:val="0"/>
          <w:bCs w:val="0"/>
          <w:sz w:val="24"/>
          <w:szCs w:val="24"/>
          <w:lang w:val="en-US" w:eastAsia="zh-CN"/>
        </w:rPr>
        <w:t>4.支持对质控检查任务的完成情况、整改任务的完成情况、质控问题、目标完成情况统计分析。具备展示质控检查问题及占比情况，图形化展示各检查项目检查结果、各科室检查评分情况，支持自动分析护理质量数据，形成报告。</w:t>
      </w:r>
    </w:p>
    <w:p w14:paraId="4D4AABFF">
      <w:pPr>
        <w:spacing w:line="560" w:lineRule="exact"/>
        <w:ind w:firstLine="480" w:firstLineChars="200"/>
        <w:rPr>
          <w:rFonts w:hint="eastAsia" w:ascii="宋体" w:hAnsi="宋体" w:eastAsia="宋体" w:cs="仿宋_GB2312"/>
          <w:b w:val="0"/>
          <w:bCs w:val="0"/>
          <w:sz w:val="24"/>
          <w:szCs w:val="24"/>
          <w:lang w:val="en-US" w:eastAsia="zh-CN"/>
        </w:rPr>
      </w:pPr>
      <w:r>
        <w:rPr>
          <w:rFonts w:hint="eastAsia" w:ascii="宋体" w:hAnsi="宋体" w:eastAsia="宋体" w:cs="仿宋_GB2312"/>
          <w:b w:val="0"/>
          <w:bCs w:val="0"/>
          <w:sz w:val="24"/>
          <w:szCs w:val="24"/>
          <w:lang w:val="en-US" w:eastAsia="zh-CN"/>
        </w:rPr>
        <w:t>5.质控检查表单，提供自定义表单制作功能，协助院方完成相关表单制作；支持检查表单个性化设置，质控统计分析查询。具备质控检查报告（月、季度、年），质控问题分析报告；实现一级质控检查及分析报告 ；实现二级质控检查及分析报告；实现三级质控检查及分析报告；具备质控问题整改及分析报告，具备按照质控级别及质控要求进行分类设置：</w:t>
      </w:r>
    </w:p>
    <w:p w14:paraId="6031AABE">
      <w:pPr>
        <w:spacing w:line="560" w:lineRule="exact"/>
        <w:ind w:firstLine="480" w:firstLineChars="200"/>
        <w:rPr>
          <w:rFonts w:hint="eastAsia" w:ascii="宋体" w:hAnsi="宋体" w:eastAsia="宋体" w:cs="仿宋_GB2312"/>
          <w:b w:val="0"/>
          <w:bCs w:val="0"/>
          <w:sz w:val="24"/>
          <w:szCs w:val="24"/>
          <w:lang w:val="en-US" w:eastAsia="zh-CN"/>
        </w:rPr>
      </w:pPr>
      <w:r>
        <w:rPr>
          <w:rFonts w:hint="eastAsia" w:ascii="宋体" w:hAnsi="宋体" w:eastAsia="宋体" w:cs="仿宋_GB2312"/>
          <w:b w:val="0"/>
          <w:bCs w:val="0"/>
          <w:sz w:val="24"/>
          <w:szCs w:val="24"/>
          <w:lang w:val="en-US" w:eastAsia="zh-CN"/>
        </w:rPr>
        <w:t>6.支持三级质量检查与查房功能时，系统支持科室质量自查记录结果录入，根据既定的行政查房项目进行打分，填写扣分原因。并能形成质量检查分析报告：满足对各科室的质量自查与抽查、行政查房、护理夜查房过程中发现的问题进行记录，汇总分析；具备质量问题汇总：满足汇总质量自查与抽查、行政查房、护理夜查房过程中发现的问题记录，护理部对单项问题做多科室分析或者对某科室做重点问题分析记录；具备质量得分统计：统计检查次数及平均分；具备质量得分季度同比：质量得分季度同比；具备质量得分季度环比：质量得分季度环比；具备质量得分月度环比：质量得分月度环比；具备科室月度质量填报: 支持填报科室整月质量情况、填报护理部月度质量情况。</w:t>
      </w:r>
    </w:p>
    <w:p w14:paraId="0E6B4C20">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仿宋_GB2312"/>
          <w:b/>
          <w:bCs/>
          <w:color w:val="000000" w:themeColor="text1"/>
          <w:sz w:val="24"/>
          <w:szCs w:val="24"/>
          <w:lang w:val="en-US" w:eastAsia="zh-CN"/>
          <w14:textFill>
            <w14:solidFill>
              <w14:schemeClr w14:val="tx1"/>
            </w14:solidFill>
          </w14:textFill>
        </w:rPr>
      </w:pPr>
      <w:r>
        <w:rPr>
          <w:rFonts w:hint="eastAsia" w:ascii="宋体" w:hAnsi="宋体" w:eastAsia="宋体" w:cs="仿宋_GB2312"/>
          <w:b/>
          <w:bCs/>
          <w:color w:val="000000" w:themeColor="text1"/>
          <w:sz w:val="24"/>
          <w:szCs w:val="24"/>
          <w:lang w:val="en-US" w:eastAsia="zh-CN"/>
          <w14:textFill>
            <w14:solidFill>
              <w14:schemeClr w14:val="tx1"/>
            </w14:solidFill>
          </w14:textFill>
        </w:rPr>
        <w:t>（二）护理敏感质量指标管理模块</w:t>
      </w:r>
    </w:p>
    <w:p w14:paraId="2AB8572E">
      <w:pPr>
        <w:spacing w:line="560" w:lineRule="exact"/>
        <w:ind w:firstLine="480" w:firstLineChars="200"/>
        <w:rPr>
          <w:rFonts w:hint="eastAsia" w:ascii="宋体" w:hAnsi="宋体" w:eastAsia="宋体" w:cs="仿宋_GB2312"/>
          <w:b w:val="0"/>
          <w:bCs w:val="0"/>
          <w:sz w:val="24"/>
          <w:szCs w:val="24"/>
          <w:lang w:val="en-US" w:eastAsia="zh-CN"/>
        </w:rPr>
      </w:pPr>
      <w:r>
        <w:rPr>
          <w:rFonts w:hint="eastAsia" w:ascii="宋体" w:hAnsi="宋体" w:eastAsia="宋体" w:cs="仿宋_GB2312"/>
          <w:b w:val="0"/>
          <w:bCs w:val="0"/>
          <w:sz w:val="24"/>
          <w:szCs w:val="24"/>
          <w:lang w:val="en-US" w:eastAsia="zh-CN"/>
        </w:rPr>
        <w:t>7.支持获取并计算基础业务数据，实现敏感指标统计。</w:t>
      </w:r>
    </w:p>
    <w:p w14:paraId="6B254763">
      <w:pPr>
        <w:spacing w:line="560" w:lineRule="exact"/>
        <w:ind w:firstLine="480" w:firstLineChars="200"/>
        <w:rPr>
          <w:rFonts w:hint="eastAsia" w:ascii="宋体" w:hAnsi="宋体" w:eastAsia="宋体" w:cs="仿宋_GB2312"/>
          <w:b w:val="0"/>
          <w:bCs w:val="0"/>
          <w:sz w:val="24"/>
          <w:szCs w:val="24"/>
          <w:lang w:val="en-US" w:eastAsia="zh-CN"/>
        </w:rPr>
      </w:pPr>
      <w:r>
        <w:rPr>
          <w:rFonts w:hint="eastAsia" w:ascii="宋体" w:hAnsi="宋体" w:eastAsia="宋体" w:cs="仿宋_GB2312"/>
          <w:b w:val="0"/>
          <w:bCs w:val="0"/>
          <w:sz w:val="24"/>
          <w:szCs w:val="24"/>
          <w:lang w:val="en-US" w:eastAsia="zh-CN"/>
        </w:rPr>
        <w:t>8.支持指标填报：根据设定的数据填报周期类别（如，月、季度、年），自动提取对应周期内的通用指标填报数据，支持对提取的数据进行编辑，然后进行保存或存档操作。</w:t>
      </w:r>
    </w:p>
    <w:p w14:paraId="1381F537">
      <w:pPr>
        <w:spacing w:line="560" w:lineRule="exact"/>
        <w:ind w:firstLine="480" w:firstLineChars="200"/>
        <w:rPr>
          <w:rFonts w:hint="eastAsia" w:ascii="宋体" w:hAnsi="宋体" w:eastAsia="宋体" w:cs="仿宋_GB2312"/>
          <w:b w:val="0"/>
          <w:bCs w:val="0"/>
          <w:sz w:val="24"/>
          <w:szCs w:val="24"/>
          <w:lang w:val="en-US" w:eastAsia="zh-CN"/>
        </w:rPr>
      </w:pPr>
      <w:r>
        <w:rPr>
          <w:rFonts w:hint="eastAsia" w:ascii="宋体" w:hAnsi="宋体" w:eastAsia="宋体" w:cs="仿宋_GB2312"/>
          <w:b w:val="0"/>
          <w:bCs w:val="0"/>
          <w:sz w:val="24"/>
          <w:szCs w:val="24"/>
          <w:lang w:val="en-US" w:eastAsia="zh-CN"/>
        </w:rPr>
        <w:t>9.具备指标分析：满足对指标数据进行分析，满足柱状图、趋势图、饼图、表格等多种统计方式展示分析结果。</w:t>
      </w:r>
    </w:p>
    <w:p w14:paraId="5CFA0EDC">
      <w:pPr>
        <w:spacing w:line="560" w:lineRule="exact"/>
        <w:ind w:firstLine="480" w:firstLineChars="200"/>
        <w:rPr>
          <w:rFonts w:hint="eastAsia" w:ascii="宋体" w:hAnsi="宋体" w:eastAsia="宋体" w:cs="仿宋_GB2312"/>
          <w:b w:val="0"/>
          <w:bCs w:val="0"/>
          <w:sz w:val="24"/>
          <w:szCs w:val="24"/>
          <w:lang w:val="en-US" w:eastAsia="zh-CN"/>
        </w:rPr>
      </w:pPr>
      <w:r>
        <w:rPr>
          <w:rFonts w:hint="eastAsia" w:ascii="宋体" w:hAnsi="宋体" w:eastAsia="宋体" w:cs="仿宋_GB2312"/>
          <w:b w:val="0"/>
          <w:bCs w:val="0"/>
          <w:sz w:val="24"/>
          <w:szCs w:val="24"/>
          <w:lang w:val="en-US" w:eastAsia="zh-CN"/>
        </w:rPr>
        <w:t>10.支持计算床护比：满足计算执业护士数与实际开放床位数之比。</w:t>
      </w:r>
    </w:p>
    <w:p w14:paraId="279F4428">
      <w:pPr>
        <w:spacing w:line="560" w:lineRule="exact"/>
        <w:ind w:firstLine="480" w:firstLineChars="200"/>
        <w:rPr>
          <w:rFonts w:hint="eastAsia" w:ascii="宋体" w:hAnsi="宋体" w:eastAsia="宋体" w:cs="仿宋_GB2312"/>
          <w:b w:val="0"/>
          <w:bCs w:val="0"/>
          <w:sz w:val="24"/>
          <w:szCs w:val="24"/>
          <w:lang w:val="en-US" w:eastAsia="zh-CN"/>
        </w:rPr>
      </w:pPr>
      <w:r>
        <w:rPr>
          <w:rFonts w:hint="eastAsia" w:ascii="宋体" w:hAnsi="宋体" w:eastAsia="宋体" w:cs="仿宋_GB2312"/>
          <w:b w:val="0"/>
          <w:bCs w:val="0"/>
          <w:sz w:val="24"/>
          <w:szCs w:val="24"/>
          <w:lang w:val="en-US" w:eastAsia="zh-CN"/>
        </w:rPr>
        <w:t>11.支持计算护患比:满足计算责任护士总数与收治患者总数之比；白班护患比，根据统计周期和对应填报数据计算白班责任护士数与白班收治患者数之比；夜班护患比，根据统计周期和对应填报数据计算夜班责任护士数与夜班收治患者数之比。</w:t>
      </w:r>
    </w:p>
    <w:p w14:paraId="149009A3">
      <w:pPr>
        <w:spacing w:line="560" w:lineRule="exact"/>
        <w:ind w:firstLine="480" w:firstLineChars="200"/>
        <w:rPr>
          <w:rFonts w:hint="eastAsia" w:ascii="宋体" w:hAnsi="宋体" w:eastAsia="宋体" w:cs="仿宋_GB2312"/>
          <w:b w:val="0"/>
          <w:bCs w:val="0"/>
          <w:sz w:val="24"/>
          <w:szCs w:val="24"/>
          <w:lang w:val="en-US" w:eastAsia="zh-CN"/>
        </w:rPr>
      </w:pPr>
      <w:r>
        <w:rPr>
          <w:rFonts w:hint="eastAsia" w:ascii="宋体" w:hAnsi="宋体" w:eastAsia="宋体" w:cs="仿宋_GB2312"/>
          <w:b w:val="0"/>
          <w:bCs w:val="0"/>
          <w:sz w:val="24"/>
          <w:szCs w:val="24"/>
          <w:lang w:val="en-US" w:eastAsia="zh-CN"/>
        </w:rPr>
        <w:t>12.支持计算每住院患者24小时平均护理时数：满足统计周期内患者平均每天实际得到的护理时数。</w:t>
      </w:r>
    </w:p>
    <w:p w14:paraId="07F66FC8">
      <w:pPr>
        <w:spacing w:line="560" w:lineRule="exact"/>
        <w:ind w:firstLine="480" w:firstLineChars="200"/>
        <w:rPr>
          <w:rFonts w:hint="eastAsia" w:ascii="宋体" w:hAnsi="宋体" w:eastAsia="宋体" w:cs="仿宋_GB2312"/>
          <w:b w:val="0"/>
          <w:bCs w:val="0"/>
          <w:sz w:val="24"/>
          <w:szCs w:val="24"/>
          <w:lang w:val="en-US" w:eastAsia="zh-CN"/>
        </w:rPr>
      </w:pPr>
      <w:r>
        <w:rPr>
          <w:rFonts w:hint="eastAsia" w:ascii="宋体" w:hAnsi="宋体" w:eastAsia="宋体" w:cs="仿宋_GB2312"/>
          <w:b w:val="0"/>
          <w:bCs w:val="0"/>
          <w:sz w:val="24"/>
          <w:szCs w:val="24"/>
          <w:lang w:val="en-US" w:eastAsia="zh-CN"/>
        </w:rPr>
        <w:t>13.支持计算不同级别护士的配置：根据不同工作年限对护士配置进行分析；根据不同学历对护士配置进行分析；根据不同职称对护士配置进行分析。</w:t>
      </w:r>
    </w:p>
    <w:p w14:paraId="5810F7A3">
      <w:pPr>
        <w:spacing w:line="560" w:lineRule="exact"/>
        <w:ind w:firstLine="480" w:firstLineChars="200"/>
        <w:rPr>
          <w:rFonts w:hint="eastAsia" w:ascii="宋体" w:hAnsi="宋体" w:eastAsia="宋体" w:cs="仿宋_GB2312"/>
          <w:b w:val="0"/>
          <w:bCs w:val="0"/>
          <w:sz w:val="24"/>
          <w:szCs w:val="24"/>
          <w:lang w:val="en-US" w:eastAsia="zh-CN"/>
        </w:rPr>
      </w:pPr>
      <w:r>
        <w:rPr>
          <w:rFonts w:hint="eastAsia" w:ascii="宋体" w:hAnsi="宋体" w:eastAsia="宋体" w:cs="仿宋_GB2312"/>
          <w:b w:val="0"/>
          <w:bCs w:val="0"/>
          <w:sz w:val="24"/>
          <w:szCs w:val="24"/>
          <w:lang w:val="en-US" w:eastAsia="zh-CN"/>
        </w:rPr>
        <w:t>14.支持计算护士离职率：统计某一周期内不同工作年限护士的离职率，对不同工作年限护士离职率进行对比分析；统计某一周期内不同学历护士的离职率，对不同学历护士离职率进行对比分析；统计某一周期内不同职称护士的离职率，对不同职称护士离职率进行对比分析；统计周期内护士的离职率；</w:t>
      </w:r>
    </w:p>
    <w:p w14:paraId="1BEBAD25">
      <w:pPr>
        <w:spacing w:line="560" w:lineRule="exact"/>
        <w:ind w:firstLine="480" w:firstLineChars="200"/>
        <w:rPr>
          <w:rFonts w:hint="eastAsia" w:ascii="宋体" w:hAnsi="宋体" w:eastAsia="宋体" w:cs="仿宋_GB2312"/>
          <w:b w:val="0"/>
          <w:bCs w:val="0"/>
          <w:sz w:val="24"/>
          <w:szCs w:val="24"/>
          <w:lang w:val="en-US" w:eastAsia="zh-CN"/>
        </w:rPr>
      </w:pPr>
      <w:r>
        <w:rPr>
          <w:rFonts w:hint="eastAsia" w:ascii="宋体" w:hAnsi="宋体" w:eastAsia="宋体" w:cs="仿宋_GB2312"/>
          <w:b w:val="0"/>
          <w:bCs w:val="0"/>
          <w:sz w:val="24"/>
          <w:szCs w:val="24"/>
          <w:lang w:val="en-US" w:eastAsia="zh-CN"/>
        </w:rPr>
        <w:t>15.支持计算住院患者跌倒发生率，统计周期内在院患者发生跌倒的数据分析；住院患者跌倒伤害率，统计周期内在院患者发生跌倒且发生伤害的数据分析；住院患者跌倒伤害某等级比率。</w:t>
      </w:r>
    </w:p>
    <w:p w14:paraId="020DDE98">
      <w:pPr>
        <w:spacing w:line="560" w:lineRule="exact"/>
        <w:ind w:firstLine="480" w:firstLineChars="200"/>
        <w:rPr>
          <w:rFonts w:hint="eastAsia" w:ascii="宋体" w:hAnsi="宋体" w:eastAsia="宋体" w:cs="仿宋_GB2312"/>
          <w:b w:val="0"/>
          <w:bCs w:val="0"/>
          <w:sz w:val="24"/>
          <w:szCs w:val="24"/>
          <w:lang w:val="en-US" w:eastAsia="zh-CN"/>
        </w:rPr>
      </w:pPr>
      <w:r>
        <w:rPr>
          <w:rFonts w:hint="eastAsia" w:ascii="宋体" w:hAnsi="宋体" w:eastAsia="宋体" w:cs="仿宋_GB2312"/>
          <w:b w:val="0"/>
          <w:bCs w:val="0"/>
          <w:sz w:val="24"/>
          <w:szCs w:val="24"/>
          <w:lang w:val="en-US" w:eastAsia="zh-CN"/>
        </w:rPr>
        <w:t>16.支持计算院内压疮发生率：满足某期院内压疮发生占比，按照压疮的级别对不同期的院内压疮情况进行占比分析；院内压疮发生率，统计周期内院内压疮的整体发生情况。</w:t>
      </w:r>
    </w:p>
    <w:p w14:paraId="3941C74F">
      <w:pPr>
        <w:spacing w:line="560" w:lineRule="exact"/>
        <w:ind w:firstLine="480" w:firstLineChars="200"/>
        <w:rPr>
          <w:rFonts w:hint="eastAsia" w:ascii="宋体" w:hAnsi="宋体" w:eastAsia="宋体" w:cs="仿宋_GB2312"/>
          <w:b w:val="0"/>
          <w:bCs w:val="0"/>
          <w:sz w:val="24"/>
          <w:szCs w:val="24"/>
          <w:lang w:val="en-US" w:eastAsia="zh-CN"/>
        </w:rPr>
      </w:pPr>
      <w:r>
        <w:rPr>
          <w:rFonts w:hint="eastAsia" w:ascii="宋体" w:hAnsi="宋体" w:eastAsia="宋体" w:cs="仿宋_GB2312"/>
          <w:b w:val="0"/>
          <w:bCs w:val="0"/>
          <w:sz w:val="24"/>
          <w:szCs w:val="24"/>
          <w:lang w:val="en-US" w:eastAsia="zh-CN"/>
        </w:rPr>
        <w:t>17.支持计算住院患者身体约束率：满足统计周期内住院患者约束具使用天数占统计周期内住院患者总人日数的百分率。</w:t>
      </w:r>
    </w:p>
    <w:p w14:paraId="3A80DC2A">
      <w:pPr>
        <w:spacing w:line="560" w:lineRule="exact"/>
        <w:ind w:firstLine="480" w:firstLineChars="200"/>
        <w:rPr>
          <w:rFonts w:hint="eastAsia" w:ascii="宋体" w:hAnsi="宋体" w:eastAsia="宋体" w:cs="仿宋_GB2312"/>
          <w:b w:val="0"/>
          <w:bCs w:val="0"/>
          <w:sz w:val="24"/>
          <w:szCs w:val="24"/>
          <w:lang w:val="en-US" w:eastAsia="zh-CN"/>
        </w:rPr>
      </w:pPr>
      <w:r>
        <w:rPr>
          <w:rFonts w:hint="eastAsia" w:ascii="宋体" w:hAnsi="宋体" w:eastAsia="宋体" w:cs="仿宋_GB2312"/>
          <w:b w:val="0"/>
          <w:bCs w:val="0"/>
          <w:sz w:val="24"/>
          <w:szCs w:val="24"/>
          <w:lang w:val="en-US" w:eastAsia="zh-CN"/>
        </w:rPr>
        <w:t>18.支持计算插管患者非计划拔管发生率：统计周期内住院患者导尿管非计划拔管的发生情况；胃管非计划拔管发生率，统计周期内住院患者胃管非计划拔管的发生情况。</w:t>
      </w:r>
    </w:p>
    <w:p w14:paraId="73CF9690">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仿宋_GB2312"/>
          <w:b/>
          <w:bCs/>
          <w:color w:val="000000" w:themeColor="text1"/>
          <w:sz w:val="24"/>
          <w:szCs w:val="24"/>
          <w:lang w:val="en-US" w:eastAsia="zh-CN"/>
          <w14:textFill>
            <w14:solidFill>
              <w14:schemeClr w14:val="tx1"/>
            </w14:solidFill>
          </w14:textFill>
        </w:rPr>
      </w:pPr>
      <w:r>
        <w:rPr>
          <w:rFonts w:hint="eastAsia" w:ascii="宋体" w:hAnsi="宋体" w:eastAsia="宋体" w:cs="仿宋_GB2312"/>
          <w:b/>
          <w:bCs/>
          <w:color w:val="000000" w:themeColor="text1"/>
          <w:sz w:val="24"/>
          <w:szCs w:val="24"/>
          <w:lang w:val="en-US" w:eastAsia="zh-CN"/>
          <w14:textFill>
            <w14:solidFill>
              <w14:schemeClr w14:val="tx1"/>
            </w14:solidFill>
          </w14:textFill>
        </w:rPr>
        <w:t xml:space="preserve">（三）护理不良事件功能模块 </w:t>
      </w:r>
    </w:p>
    <w:p w14:paraId="7E78ADB4">
      <w:pPr>
        <w:spacing w:line="560" w:lineRule="exact"/>
        <w:ind w:firstLine="480" w:firstLineChars="200"/>
        <w:rPr>
          <w:rFonts w:hint="eastAsia" w:ascii="宋体" w:hAnsi="宋体" w:eastAsia="宋体" w:cs="仿宋_GB2312"/>
          <w:b w:val="0"/>
          <w:bCs w:val="0"/>
          <w:sz w:val="24"/>
          <w:szCs w:val="24"/>
          <w:lang w:val="en-US" w:eastAsia="zh-CN"/>
        </w:rPr>
      </w:pPr>
      <w:r>
        <w:rPr>
          <w:rFonts w:hint="eastAsia" w:ascii="宋体" w:hAnsi="宋体" w:eastAsia="宋体" w:cs="仿宋_GB2312"/>
          <w:b w:val="0"/>
          <w:bCs w:val="0"/>
          <w:sz w:val="24"/>
          <w:szCs w:val="24"/>
          <w:lang w:val="en-US" w:eastAsia="zh-CN"/>
        </w:rPr>
        <w:t>19.实现不同类型不良事件上报、表单打印/导出、转送/驳回、跟踪/反馈。</w:t>
      </w:r>
    </w:p>
    <w:p w14:paraId="48ADF75E">
      <w:pPr>
        <w:spacing w:line="560" w:lineRule="exact"/>
        <w:ind w:firstLine="480" w:firstLineChars="200"/>
        <w:rPr>
          <w:rFonts w:hint="eastAsia" w:ascii="宋体" w:hAnsi="宋体" w:eastAsia="宋体" w:cs="仿宋_GB2312"/>
          <w:b w:val="0"/>
          <w:bCs w:val="0"/>
          <w:sz w:val="24"/>
          <w:szCs w:val="24"/>
          <w:lang w:val="en-US" w:eastAsia="zh-CN"/>
        </w:rPr>
      </w:pPr>
      <w:r>
        <w:rPr>
          <w:rFonts w:hint="eastAsia" w:ascii="宋体" w:hAnsi="宋体" w:eastAsia="宋体" w:cs="仿宋_GB2312"/>
          <w:b w:val="0"/>
          <w:bCs w:val="0"/>
          <w:sz w:val="24"/>
          <w:szCs w:val="24"/>
          <w:lang w:val="en-US" w:eastAsia="zh-CN"/>
        </w:rPr>
        <w:t>20.满足针对护理隐患（未发生），护理不良事件（已发生）：给药错误、坠床、跌倒、针刺伤、护理投诉、护理事故、烫伤、压力性损伤、高危压力性损伤、药物外渗、管道滑脱等情况进行上报、记录整改情况；</w:t>
      </w:r>
    </w:p>
    <w:p w14:paraId="21DCDCAD">
      <w:pPr>
        <w:spacing w:line="560" w:lineRule="exact"/>
        <w:ind w:firstLine="480" w:firstLineChars="200"/>
        <w:rPr>
          <w:rFonts w:hint="eastAsia" w:ascii="宋体" w:hAnsi="宋体" w:eastAsia="宋体" w:cs="仿宋_GB2312"/>
          <w:b w:val="0"/>
          <w:bCs w:val="0"/>
          <w:sz w:val="24"/>
          <w:szCs w:val="24"/>
          <w:lang w:val="en-US" w:eastAsia="zh-CN"/>
        </w:rPr>
      </w:pPr>
      <w:r>
        <w:rPr>
          <w:rFonts w:hint="eastAsia" w:ascii="宋体" w:hAnsi="宋体" w:eastAsia="宋体" w:cs="仿宋_GB2312"/>
          <w:b w:val="0"/>
          <w:bCs w:val="0"/>
          <w:sz w:val="24"/>
          <w:szCs w:val="24"/>
          <w:lang w:val="en-US" w:eastAsia="zh-CN"/>
        </w:rPr>
        <w:t>21.支持汇总不良事件数据，形成报告：统计已发生、未发生例数及占比；统计各类不良事件例数及占比，提供饼图；统计各伤害程度例数及占比</w:t>
      </w:r>
    </w:p>
    <w:p w14:paraId="03379F69">
      <w:pPr>
        <w:spacing w:line="560" w:lineRule="exact"/>
        <w:ind w:firstLine="480" w:firstLineChars="200"/>
        <w:rPr>
          <w:rFonts w:hint="eastAsia" w:ascii="宋体" w:hAnsi="宋体" w:eastAsia="宋体" w:cs="仿宋_GB2312"/>
          <w:b w:val="0"/>
          <w:bCs w:val="0"/>
          <w:sz w:val="24"/>
          <w:szCs w:val="24"/>
          <w:lang w:val="en-US" w:eastAsia="zh-CN"/>
        </w:rPr>
      </w:pPr>
      <w:r>
        <w:rPr>
          <w:rFonts w:hint="eastAsia" w:ascii="宋体" w:hAnsi="宋体" w:eastAsia="宋体" w:cs="仿宋_GB2312"/>
          <w:b w:val="0"/>
          <w:bCs w:val="0"/>
          <w:sz w:val="24"/>
          <w:szCs w:val="24"/>
          <w:lang w:val="en-US" w:eastAsia="zh-CN"/>
        </w:rPr>
        <w:t>22.支持汇总跌倒不良事件数据，形成报告：满足完成跌倒不良事件全部统计分析，满足护理部及临床科室快速完成不良事件报告；支持饼图、柱状图、拆线图；支持图形效果</w:t>
      </w:r>
    </w:p>
    <w:p w14:paraId="533F7292">
      <w:pPr>
        <w:spacing w:line="560" w:lineRule="exact"/>
        <w:ind w:firstLine="480" w:firstLineChars="200"/>
        <w:rPr>
          <w:rFonts w:hint="eastAsia" w:ascii="宋体" w:hAnsi="宋体" w:eastAsia="宋体" w:cs="仿宋_GB2312"/>
          <w:b w:val="0"/>
          <w:bCs w:val="0"/>
          <w:sz w:val="24"/>
          <w:szCs w:val="24"/>
          <w:lang w:val="en-US" w:eastAsia="zh-CN"/>
        </w:rPr>
      </w:pPr>
      <w:r>
        <w:rPr>
          <w:rFonts w:hint="eastAsia" w:ascii="宋体" w:hAnsi="宋体" w:eastAsia="宋体" w:cs="仿宋_GB2312"/>
          <w:b w:val="0"/>
          <w:bCs w:val="0"/>
          <w:sz w:val="24"/>
          <w:szCs w:val="24"/>
          <w:lang w:val="en-US" w:eastAsia="zh-CN"/>
        </w:rPr>
        <w:t>23.支持汇总坠床不良事件数据，形成报告：满足完成坠床不良事件全部的统计分析，满足护理部及科室快速完成不良事件报告；支持饼图、柱状图、拆线图；</w:t>
      </w:r>
    </w:p>
    <w:p w14:paraId="1EA8029D">
      <w:pPr>
        <w:spacing w:line="560" w:lineRule="exact"/>
        <w:ind w:firstLine="480" w:firstLineChars="200"/>
        <w:rPr>
          <w:rFonts w:hint="eastAsia" w:ascii="宋体" w:hAnsi="宋体" w:eastAsia="宋体" w:cs="仿宋_GB2312"/>
          <w:b w:val="0"/>
          <w:bCs w:val="0"/>
          <w:sz w:val="24"/>
          <w:szCs w:val="24"/>
          <w:lang w:val="en-US" w:eastAsia="zh-CN"/>
        </w:rPr>
      </w:pPr>
      <w:r>
        <w:rPr>
          <w:rFonts w:hint="eastAsia" w:ascii="宋体" w:hAnsi="宋体" w:eastAsia="宋体" w:cs="仿宋_GB2312"/>
          <w:b w:val="0"/>
          <w:bCs w:val="0"/>
          <w:sz w:val="24"/>
          <w:szCs w:val="24"/>
          <w:lang w:val="en-US" w:eastAsia="zh-CN"/>
        </w:rPr>
        <w:t>24.支持汇总压力性损伤不良事件数据，形成报告：完成压力性损伤（院内）不良事件全部的统计分析，满足护理部及科室快速完成不良事件报告；支持饼图、柱状图、拆线图。</w:t>
      </w:r>
    </w:p>
    <w:p w14:paraId="555A6EC6">
      <w:pPr>
        <w:spacing w:line="560" w:lineRule="exact"/>
        <w:ind w:firstLine="480" w:firstLineChars="200"/>
        <w:rPr>
          <w:rFonts w:hint="eastAsia" w:ascii="宋体" w:hAnsi="宋体" w:eastAsia="宋体" w:cs="仿宋_GB2312"/>
          <w:b w:val="0"/>
          <w:bCs w:val="0"/>
          <w:sz w:val="24"/>
          <w:szCs w:val="24"/>
          <w:lang w:val="en-US" w:eastAsia="zh-CN"/>
        </w:rPr>
      </w:pPr>
      <w:r>
        <w:rPr>
          <w:rFonts w:hint="eastAsia" w:ascii="宋体" w:hAnsi="宋体" w:eastAsia="宋体" w:cs="仿宋_GB2312"/>
          <w:b w:val="0"/>
          <w:bCs w:val="0"/>
          <w:sz w:val="24"/>
          <w:szCs w:val="24"/>
          <w:lang w:val="en-US" w:eastAsia="zh-CN"/>
        </w:rPr>
        <w:t>25.支持汇总管道滑脱不良事件数据，形成报告：满足完成管道滑脱不良事件全部的统计分析，满足护理部及科室快速完成不良事件报告；支持饼图、柱状图、拆线图。</w:t>
      </w:r>
    </w:p>
    <w:p w14:paraId="509865C6">
      <w:pPr>
        <w:spacing w:line="560" w:lineRule="exact"/>
        <w:ind w:firstLine="480" w:firstLineChars="200"/>
        <w:rPr>
          <w:rFonts w:hint="eastAsia" w:ascii="宋体" w:hAnsi="宋体" w:eastAsia="宋体" w:cs="仿宋_GB2312"/>
          <w:b w:val="0"/>
          <w:bCs w:val="0"/>
          <w:sz w:val="24"/>
          <w:szCs w:val="24"/>
          <w:lang w:val="en-US" w:eastAsia="zh-CN"/>
        </w:rPr>
      </w:pPr>
      <w:r>
        <w:rPr>
          <w:rFonts w:hint="eastAsia" w:ascii="宋体" w:hAnsi="宋体" w:eastAsia="宋体" w:cs="仿宋_GB2312"/>
          <w:b w:val="0"/>
          <w:bCs w:val="0"/>
          <w:sz w:val="24"/>
          <w:szCs w:val="24"/>
          <w:lang w:val="en-US" w:eastAsia="zh-CN"/>
        </w:rPr>
        <w:t>26.支持汇总给药错误不良事件数据，形成报告：完成给药错误不良事件全部的统计分析，满足护理部及科室快速完成不良事件报告；支持饼图、柱状图、拆线图。</w:t>
      </w:r>
    </w:p>
    <w:p w14:paraId="47556339">
      <w:pPr>
        <w:spacing w:line="560" w:lineRule="exact"/>
        <w:ind w:firstLine="480" w:firstLineChars="200"/>
        <w:rPr>
          <w:rFonts w:hint="eastAsia" w:ascii="宋体" w:hAnsi="宋体" w:eastAsia="宋体" w:cs="仿宋_GB2312"/>
          <w:b w:val="0"/>
          <w:bCs w:val="0"/>
          <w:sz w:val="24"/>
          <w:szCs w:val="24"/>
          <w:lang w:val="en-US" w:eastAsia="zh-CN"/>
        </w:rPr>
      </w:pPr>
      <w:r>
        <w:rPr>
          <w:rFonts w:hint="eastAsia" w:ascii="宋体" w:hAnsi="宋体" w:eastAsia="宋体" w:cs="仿宋_GB2312"/>
          <w:b w:val="0"/>
          <w:bCs w:val="0"/>
          <w:sz w:val="24"/>
          <w:szCs w:val="24"/>
          <w:lang w:val="en-US" w:eastAsia="zh-CN"/>
        </w:rPr>
        <w:t>27.支持汇总针刺伤不良事件数据，形成报告：完成针刺伤不良事件全部的统计分析，满足护理部及科室快速完成不良事件报告；支持饼图、柱状图、拆线图。</w:t>
      </w:r>
    </w:p>
    <w:p w14:paraId="4832E750">
      <w:pPr>
        <w:spacing w:line="560" w:lineRule="exact"/>
        <w:ind w:firstLine="480" w:firstLineChars="200"/>
        <w:rPr>
          <w:rFonts w:hint="eastAsia" w:ascii="宋体" w:hAnsi="宋体" w:eastAsia="宋体" w:cs="仿宋_GB2312"/>
          <w:b w:val="0"/>
          <w:bCs w:val="0"/>
          <w:sz w:val="24"/>
          <w:szCs w:val="24"/>
          <w:lang w:val="en-US" w:eastAsia="zh-CN"/>
        </w:rPr>
      </w:pPr>
      <w:r>
        <w:rPr>
          <w:rFonts w:hint="eastAsia" w:ascii="宋体" w:hAnsi="宋体" w:eastAsia="宋体" w:cs="仿宋_GB2312"/>
          <w:b w:val="0"/>
          <w:bCs w:val="0"/>
          <w:sz w:val="24"/>
          <w:szCs w:val="24"/>
          <w:lang w:val="en-US" w:eastAsia="zh-CN"/>
        </w:rPr>
        <w:t>28.支持汇总烫伤不良事件汇数据，形成报告：完成烫伤不良事件全部的统计分析，满足护理部及科室快速完成不良事件报告；支持饼图、柱状图、拆线图。</w:t>
      </w:r>
    </w:p>
    <w:p w14:paraId="22DCAA59">
      <w:pPr>
        <w:spacing w:line="560" w:lineRule="exact"/>
        <w:ind w:firstLine="480" w:firstLineChars="200"/>
        <w:rPr>
          <w:rFonts w:hint="eastAsia" w:ascii="宋体" w:hAnsi="宋体" w:eastAsia="宋体" w:cs="仿宋_GB2312"/>
          <w:b w:val="0"/>
          <w:bCs w:val="0"/>
          <w:sz w:val="24"/>
          <w:szCs w:val="24"/>
          <w:lang w:val="en-US" w:eastAsia="zh-CN"/>
        </w:rPr>
      </w:pPr>
      <w:r>
        <w:rPr>
          <w:rFonts w:hint="eastAsia" w:ascii="宋体" w:hAnsi="宋体" w:eastAsia="宋体" w:cs="仿宋_GB2312"/>
          <w:b w:val="0"/>
          <w:bCs w:val="0"/>
          <w:sz w:val="24"/>
          <w:szCs w:val="24"/>
          <w:lang w:val="en-US" w:eastAsia="zh-CN"/>
        </w:rPr>
        <w:t>29.支持分类汇总护理不良事件数据，形成不良事件分类汇总表，支持导出打印</w:t>
      </w:r>
    </w:p>
    <w:p w14:paraId="3FBFDD6A">
      <w:pPr>
        <w:spacing w:line="560" w:lineRule="exact"/>
        <w:ind w:firstLine="480" w:firstLineChars="200"/>
        <w:rPr>
          <w:rFonts w:hint="eastAsia" w:ascii="宋体" w:hAnsi="宋体" w:eastAsia="宋体" w:cs="仿宋_GB2312"/>
          <w:b w:val="0"/>
          <w:bCs w:val="0"/>
          <w:sz w:val="24"/>
          <w:szCs w:val="24"/>
          <w:lang w:val="en-US" w:eastAsia="zh-CN"/>
        </w:rPr>
      </w:pPr>
      <w:r>
        <w:rPr>
          <w:rFonts w:hint="eastAsia" w:ascii="宋体" w:hAnsi="宋体" w:eastAsia="宋体" w:cs="仿宋_GB2312"/>
          <w:b w:val="0"/>
          <w:bCs w:val="0"/>
          <w:sz w:val="24"/>
          <w:szCs w:val="24"/>
          <w:lang w:val="en-US" w:eastAsia="zh-CN"/>
        </w:rPr>
        <w:t>30.支持汇总压力性损伤数据，形成压力性损伤数据汇总表，支持导出打印</w:t>
      </w:r>
    </w:p>
    <w:p w14:paraId="1DA508CD">
      <w:pPr>
        <w:spacing w:line="560" w:lineRule="exact"/>
        <w:ind w:firstLine="480" w:firstLineChars="200"/>
        <w:rPr>
          <w:rFonts w:hint="eastAsia" w:ascii="宋体" w:hAnsi="宋体" w:eastAsia="宋体" w:cs="仿宋_GB2312"/>
          <w:b w:val="0"/>
          <w:bCs w:val="0"/>
          <w:sz w:val="24"/>
          <w:szCs w:val="24"/>
          <w:lang w:val="en-US" w:eastAsia="zh-CN"/>
        </w:rPr>
      </w:pPr>
      <w:r>
        <w:rPr>
          <w:rFonts w:hint="eastAsia" w:ascii="宋体" w:hAnsi="宋体" w:eastAsia="宋体" w:cs="仿宋_GB2312"/>
          <w:b w:val="0"/>
          <w:bCs w:val="0"/>
          <w:sz w:val="24"/>
          <w:szCs w:val="24"/>
          <w:lang w:val="en-US" w:eastAsia="zh-CN"/>
        </w:rPr>
        <w:t>31.支持汇总给药错误事件数据，形成给药错误事件数数据表，支持导出打印</w:t>
      </w:r>
    </w:p>
    <w:p w14:paraId="6F582BDF">
      <w:pPr>
        <w:spacing w:line="560" w:lineRule="exact"/>
        <w:ind w:firstLine="480" w:firstLineChars="200"/>
        <w:rPr>
          <w:rFonts w:hint="eastAsia" w:ascii="宋体" w:hAnsi="宋体" w:eastAsia="宋体" w:cs="仿宋_GB2312"/>
          <w:b w:val="0"/>
          <w:bCs w:val="0"/>
          <w:sz w:val="24"/>
          <w:szCs w:val="24"/>
          <w:lang w:val="en-US" w:eastAsia="zh-CN"/>
        </w:rPr>
      </w:pPr>
      <w:r>
        <w:rPr>
          <w:rFonts w:hint="eastAsia" w:ascii="宋体" w:hAnsi="宋体" w:eastAsia="宋体" w:cs="仿宋_GB2312"/>
          <w:b w:val="0"/>
          <w:bCs w:val="0"/>
          <w:sz w:val="24"/>
          <w:szCs w:val="24"/>
          <w:lang w:val="en-US" w:eastAsia="zh-CN"/>
        </w:rPr>
        <w:t>32.具备跌倒、坠床事件汇总功能，形成跌倒、坠床事件汇总表，支持导出打印</w:t>
      </w:r>
    </w:p>
    <w:p w14:paraId="145111DB">
      <w:pPr>
        <w:spacing w:line="560" w:lineRule="exact"/>
        <w:ind w:firstLine="480" w:firstLineChars="200"/>
        <w:rPr>
          <w:rFonts w:hint="eastAsia" w:ascii="宋体" w:hAnsi="宋体" w:eastAsia="宋体" w:cs="仿宋_GB2312"/>
          <w:b w:val="0"/>
          <w:bCs w:val="0"/>
          <w:sz w:val="24"/>
          <w:szCs w:val="24"/>
          <w:lang w:val="en-US" w:eastAsia="zh-CN"/>
        </w:rPr>
      </w:pPr>
      <w:r>
        <w:rPr>
          <w:rFonts w:hint="eastAsia" w:ascii="宋体" w:hAnsi="宋体" w:eastAsia="宋体" w:cs="仿宋_GB2312"/>
          <w:b w:val="0"/>
          <w:bCs w:val="0"/>
          <w:sz w:val="24"/>
          <w:szCs w:val="24"/>
          <w:lang w:val="en-US" w:eastAsia="zh-CN"/>
        </w:rPr>
        <w:t>33.具备管路滑脱事件汇总功能，形成管路滑脱事件汇总表，支持导出打印</w:t>
      </w:r>
    </w:p>
    <w:p w14:paraId="0FC96A72">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仿宋_GB2312"/>
          <w:b/>
          <w:bCs/>
          <w:color w:val="000000" w:themeColor="text1"/>
          <w:sz w:val="24"/>
          <w:szCs w:val="24"/>
          <w:lang w:val="en-US" w:eastAsia="zh-CN"/>
          <w14:textFill>
            <w14:solidFill>
              <w14:schemeClr w14:val="tx1"/>
            </w14:solidFill>
          </w14:textFill>
        </w:rPr>
      </w:pPr>
      <w:r>
        <w:rPr>
          <w:rFonts w:hint="eastAsia" w:ascii="宋体" w:hAnsi="宋体" w:eastAsia="宋体" w:cs="仿宋_GB2312"/>
          <w:b/>
          <w:bCs/>
          <w:color w:val="000000" w:themeColor="text1"/>
          <w:sz w:val="24"/>
          <w:szCs w:val="24"/>
          <w:lang w:val="en-US" w:eastAsia="zh-CN"/>
          <w14:textFill>
            <w14:solidFill>
              <w14:schemeClr w14:val="tx1"/>
            </w14:solidFill>
          </w14:textFill>
        </w:rPr>
        <w:t>(四）护士排班功能模块</w:t>
      </w:r>
    </w:p>
    <w:p w14:paraId="07422014">
      <w:pPr>
        <w:spacing w:line="560" w:lineRule="exact"/>
        <w:ind w:firstLine="480" w:firstLineChars="200"/>
        <w:rPr>
          <w:rFonts w:hint="eastAsia" w:ascii="宋体" w:hAnsi="宋体" w:eastAsia="宋体" w:cs="仿宋_GB2312"/>
          <w:b w:val="0"/>
          <w:bCs w:val="0"/>
          <w:sz w:val="24"/>
          <w:szCs w:val="24"/>
          <w:lang w:val="en-US" w:eastAsia="zh-CN"/>
        </w:rPr>
      </w:pPr>
      <w:r>
        <w:rPr>
          <w:rFonts w:hint="eastAsia" w:ascii="宋体" w:hAnsi="宋体" w:eastAsia="宋体" w:cs="仿宋_GB2312"/>
          <w:b w:val="0"/>
          <w:bCs w:val="0"/>
          <w:sz w:val="24"/>
          <w:szCs w:val="24"/>
          <w:lang w:val="en-US" w:eastAsia="zh-CN"/>
        </w:rPr>
        <w:t>34.具备全院统一的护士排班模块功能，支持排班设置、班次设置，可对应班次到指定排班组；</w:t>
      </w:r>
    </w:p>
    <w:p w14:paraId="75AA29B2">
      <w:pPr>
        <w:spacing w:line="560" w:lineRule="exact"/>
        <w:ind w:firstLine="480" w:firstLineChars="200"/>
        <w:rPr>
          <w:rFonts w:hint="eastAsia" w:ascii="宋体" w:hAnsi="宋体" w:eastAsia="宋体" w:cs="仿宋_GB2312"/>
          <w:b w:val="0"/>
          <w:bCs w:val="0"/>
          <w:sz w:val="24"/>
          <w:szCs w:val="24"/>
          <w:lang w:val="en-US" w:eastAsia="zh-CN"/>
        </w:rPr>
      </w:pPr>
      <w:r>
        <w:rPr>
          <w:rFonts w:hint="eastAsia" w:ascii="宋体" w:hAnsi="宋体" w:eastAsia="宋体" w:cs="仿宋_GB2312"/>
          <w:b w:val="0"/>
          <w:bCs w:val="0"/>
          <w:sz w:val="24"/>
          <w:szCs w:val="24"/>
          <w:lang w:val="en-US" w:eastAsia="zh-CN"/>
        </w:rPr>
        <w:t>35.具备床位数维护：各科室的核定床位数、固定加床、挂床、实际开放床位数的维护；在编人数、核定床护比、固定床护比的统计。</w:t>
      </w:r>
    </w:p>
    <w:p w14:paraId="077957B0">
      <w:pPr>
        <w:spacing w:line="560" w:lineRule="exact"/>
        <w:ind w:firstLine="480" w:firstLineChars="200"/>
        <w:rPr>
          <w:rFonts w:hint="eastAsia" w:ascii="宋体" w:hAnsi="宋体" w:eastAsia="宋体" w:cs="仿宋_GB2312"/>
          <w:b w:val="0"/>
          <w:bCs w:val="0"/>
          <w:sz w:val="24"/>
          <w:szCs w:val="24"/>
          <w:lang w:val="en-US" w:eastAsia="zh-CN"/>
        </w:rPr>
      </w:pPr>
      <w:r>
        <w:rPr>
          <w:rFonts w:hint="eastAsia" w:ascii="宋体" w:hAnsi="宋体" w:eastAsia="宋体" w:cs="仿宋_GB2312"/>
          <w:b w:val="0"/>
          <w:bCs w:val="0"/>
          <w:sz w:val="24"/>
          <w:szCs w:val="24"/>
          <w:lang w:val="en-US" w:eastAsia="zh-CN"/>
        </w:rPr>
        <w:t>36.具备夜班费设置: 设置夜班费计算规则。</w:t>
      </w:r>
    </w:p>
    <w:p w14:paraId="3F2B45AB">
      <w:pPr>
        <w:spacing w:line="560" w:lineRule="exact"/>
        <w:ind w:firstLine="480" w:firstLineChars="200"/>
        <w:rPr>
          <w:rFonts w:hint="eastAsia" w:ascii="宋体" w:hAnsi="宋体" w:eastAsia="宋体" w:cs="仿宋_GB2312"/>
          <w:b w:val="0"/>
          <w:bCs w:val="0"/>
          <w:sz w:val="24"/>
          <w:szCs w:val="24"/>
          <w:lang w:val="en-US" w:eastAsia="zh-CN"/>
        </w:rPr>
      </w:pPr>
      <w:r>
        <w:rPr>
          <w:rFonts w:hint="eastAsia" w:ascii="宋体" w:hAnsi="宋体" w:eastAsia="宋体" w:cs="仿宋_GB2312"/>
          <w:b w:val="0"/>
          <w:bCs w:val="0"/>
          <w:sz w:val="24"/>
          <w:szCs w:val="24"/>
          <w:lang w:val="en-US" w:eastAsia="zh-CN"/>
        </w:rPr>
        <w:t>37.支持医院按周填报护理人员每天排班数据及备注，支持excel导出。系统支持自定义对护理人员每周排序。支持对人员进行排班分组。支持对护士历史排班复制，实现长期排班功能。</w:t>
      </w:r>
    </w:p>
    <w:p w14:paraId="1029F40F">
      <w:pPr>
        <w:spacing w:line="560" w:lineRule="exact"/>
        <w:ind w:firstLine="480" w:firstLineChars="200"/>
        <w:rPr>
          <w:rFonts w:hint="eastAsia" w:ascii="宋体" w:hAnsi="宋体" w:eastAsia="宋体" w:cs="仿宋_GB2312"/>
          <w:b w:val="0"/>
          <w:bCs w:val="0"/>
          <w:sz w:val="24"/>
          <w:szCs w:val="24"/>
          <w:lang w:val="en-US" w:eastAsia="zh-CN"/>
        </w:rPr>
      </w:pPr>
      <w:r>
        <w:rPr>
          <w:rFonts w:hint="eastAsia" w:ascii="宋体" w:hAnsi="宋体" w:eastAsia="宋体" w:cs="仿宋_GB2312"/>
          <w:b w:val="0"/>
          <w:bCs w:val="0"/>
          <w:sz w:val="24"/>
          <w:szCs w:val="24"/>
          <w:lang w:val="en-US" w:eastAsia="zh-CN"/>
        </w:rPr>
        <w:t>38.支持排班数据统计：具备全院排班一览表，可查看所有护理单元的排班情况。支持班次数量统计，统计一段时间内每个人各类班次的数量；支持全年排班汇总表，按年度统计指定班次的班时总数；具备全院排时值汇总表，按时间段统计全院班次分类班时总数；具备排班班次汇总表，按时间段汇总各班次班时总数；支持科室查看每月日平均在岗人数数据，按月统计科室日平均在岗人数；支持夜班数量统计,统计全院夜班数量；具备夜班费统计，根据排班数据及夜班规则，计算夜班费。</w:t>
      </w:r>
    </w:p>
    <w:p w14:paraId="284BB803">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仿宋_GB2312"/>
          <w:b/>
          <w:bCs/>
          <w:color w:val="000000" w:themeColor="text1"/>
          <w:sz w:val="24"/>
          <w:szCs w:val="24"/>
          <w:lang w:val="en-US" w:eastAsia="zh-CN"/>
          <w14:textFill>
            <w14:solidFill>
              <w14:schemeClr w14:val="tx1"/>
            </w14:solidFill>
          </w14:textFill>
        </w:rPr>
      </w:pPr>
      <w:r>
        <w:rPr>
          <w:rFonts w:hint="eastAsia" w:ascii="宋体" w:hAnsi="宋体" w:eastAsia="宋体" w:cs="仿宋_GB2312"/>
          <w:b/>
          <w:bCs/>
          <w:color w:val="000000" w:themeColor="text1"/>
          <w:sz w:val="24"/>
          <w:szCs w:val="24"/>
          <w:lang w:val="en-US" w:eastAsia="zh-CN"/>
          <w14:textFill>
            <w14:solidFill>
              <w14:schemeClr w14:val="tx1"/>
            </w14:solidFill>
          </w14:textFill>
        </w:rPr>
        <w:t>（五）中医治疗功能模块</w:t>
      </w:r>
    </w:p>
    <w:p w14:paraId="4C3B0527">
      <w:pPr>
        <w:spacing w:line="560" w:lineRule="exact"/>
        <w:ind w:firstLine="480" w:firstLineChars="200"/>
        <w:rPr>
          <w:rFonts w:hint="eastAsia" w:ascii="宋体" w:hAnsi="宋体" w:eastAsia="宋体" w:cs="仿宋_GB2312"/>
          <w:b w:val="0"/>
          <w:bCs w:val="0"/>
          <w:sz w:val="24"/>
          <w:szCs w:val="24"/>
          <w:lang w:val="en-US" w:eastAsia="zh-CN"/>
        </w:rPr>
      </w:pPr>
      <w:r>
        <w:rPr>
          <w:rFonts w:hint="eastAsia" w:ascii="宋体" w:hAnsi="宋体" w:eastAsia="宋体" w:cs="仿宋_GB2312"/>
          <w:b w:val="0"/>
          <w:bCs w:val="0"/>
          <w:sz w:val="24"/>
          <w:szCs w:val="24"/>
          <w:lang w:val="en-US" w:eastAsia="zh-CN"/>
        </w:rPr>
        <w:t>39.建立中医治疗类智能辅助诊疗系统管理，根据中医辨证确定的主病主证，自动推荐中医治疗协定方案、医生的治疗方案以及经典方案供医生选定，并能对治疗情况及疗效进行统计、分析，上传汇总。</w:t>
      </w:r>
    </w:p>
    <w:p w14:paraId="5547520C">
      <w:pPr>
        <w:spacing w:line="560" w:lineRule="exact"/>
        <w:ind w:firstLine="480" w:firstLineChars="200"/>
        <w:rPr>
          <w:rFonts w:hint="eastAsia" w:ascii="宋体" w:hAnsi="宋体" w:eastAsia="宋体" w:cs="仿宋_GB2312"/>
          <w:b w:val="0"/>
          <w:bCs w:val="0"/>
          <w:sz w:val="24"/>
          <w:szCs w:val="24"/>
          <w:lang w:val="en-US" w:eastAsia="zh-CN"/>
        </w:rPr>
      </w:pPr>
      <w:r>
        <w:rPr>
          <w:rFonts w:hint="eastAsia" w:ascii="宋体" w:hAnsi="宋体" w:eastAsia="宋体" w:cs="仿宋_GB2312"/>
          <w:b w:val="0"/>
          <w:bCs w:val="0"/>
          <w:sz w:val="24"/>
          <w:szCs w:val="24"/>
          <w:lang w:val="en-US" w:eastAsia="zh-CN"/>
        </w:rPr>
        <w:t>40.系统支持特色疗法诊疗管理，包含有针灸疗法，推拿疗法、拔罐疗法、刮痧疗法、熏洗疗法、敷药法、贴药法等治疗方案辅助医生，方案中需包括非药物疗法的治疗目的、注意事项、具体操作流程、禁忌症等，辅助临床医师操作，以生成、补充完善非药物疗法过程中产生的数据，形成非药物疗法数据。</w:t>
      </w:r>
    </w:p>
    <w:p w14:paraId="43056804">
      <w:pPr>
        <w:spacing w:line="560" w:lineRule="exact"/>
        <w:ind w:firstLine="480" w:firstLineChars="200"/>
        <w:rPr>
          <w:rFonts w:hint="eastAsia" w:ascii="宋体" w:hAnsi="宋体" w:eastAsia="宋体" w:cs="仿宋_GB2312"/>
          <w:b w:val="0"/>
          <w:bCs w:val="0"/>
          <w:sz w:val="24"/>
          <w:szCs w:val="24"/>
          <w:lang w:val="en-US" w:eastAsia="zh-CN"/>
        </w:rPr>
      </w:pPr>
      <w:r>
        <w:rPr>
          <w:rFonts w:hint="eastAsia" w:ascii="宋体" w:hAnsi="宋体" w:eastAsia="宋体" w:cs="仿宋_GB2312"/>
          <w:b w:val="0"/>
          <w:bCs w:val="0"/>
          <w:sz w:val="24"/>
          <w:szCs w:val="24"/>
          <w:lang w:val="en-US" w:eastAsia="zh-CN"/>
        </w:rPr>
        <w:t>41.系统支持录入非药物中医技术治疗医嘱，提供非药物中医技术治疗医嘱字典。</w:t>
      </w:r>
    </w:p>
    <w:p w14:paraId="53757253">
      <w:pPr>
        <w:spacing w:line="560" w:lineRule="exact"/>
        <w:ind w:firstLine="480" w:firstLineChars="200"/>
        <w:rPr>
          <w:rFonts w:hint="eastAsia" w:ascii="宋体" w:hAnsi="宋体" w:eastAsia="宋体" w:cs="仿宋_GB2312"/>
          <w:b w:val="0"/>
          <w:bCs w:val="0"/>
          <w:sz w:val="24"/>
          <w:szCs w:val="24"/>
          <w:lang w:val="en-US" w:eastAsia="zh-CN"/>
        </w:rPr>
      </w:pPr>
      <w:r>
        <w:rPr>
          <w:rFonts w:hint="eastAsia" w:ascii="宋体" w:hAnsi="宋体" w:eastAsia="宋体" w:cs="仿宋_GB2312"/>
          <w:b w:val="0"/>
          <w:bCs w:val="0"/>
          <w:sz w:val="24"/>
          <w:szCs w:val="24"/>
          <w:lang w:val="en-US" w:eastAsia="zh-CN"/>
        </w:rPr>
        <w:t>42.系统支持针灸治疗医嘱录入穴位、治法、针法、灸法内容。</w:t>
      </w:r>
    </w:p>
    <w:p w14:paraId="491E479B">
      <w:pPr>
        <w:spacing w:line="560" w:lineRule="exact"/>
        <w:ind w:firstLine="480" w:firstLineChars="200"/>
        <w:rPr>
          <w:rFonts w:hint="eastAsia" w:ascii="宋体" w:hAnsi="宋体" w:eastAsia="宋体" w:cs="仿宋_GB2312"/>
          <w:b w:val="0"/>
          <w:bCs w:val="0"/>
          <w:sz w:val="24"/>
          <w:szCs w:val="24"/>
          <w:lang w:val="en-US" w:eastAsia="zh-CN"/>
        </w:rPr>
      </w:pPr>
      <w:r>
        <w:rPr>
          <w:rFonts w:hint="eastAsia" w:ascii="宋体" w:hAnsi="宋体" w:eastAsia="宋体" w:cs="仿宋_GB2312"/>
          <w:b w:val="0"/>
          <w:bCs w:val="0"/>
          <w:sz w:val="24"/>
          <w:szCs w:val="24"/>
          <w:lang w:val="en-US" w:eastAsia="zh-CN"/>
        </w:rPr>
        <w:t>43.系统支持推拿治疗医嘱录入部位、治法、手法、治疗时间等内容。</w:t>
      </w:r>
    </w:p>
    <w:p w14:paraId="627C44CD">
      <w:pPr>
        <w:spacing w:line="560" w:lineRule="exact"/>
        <w:ind w:firstLine="480" w:firstLineChars="200"/>
        <w:rPr>
          <w:rFonts w:hint="eastAsia" w:ascii="宋体" w:hAnsi="宋体" w:eastAsia="宋体" w:cs="仿宋_GB2312"/>
          <w:b w:val="0"/>
          <w:bCs w:val="0"/>
          <w:sz w:val="24"/>
          <w:szCs w:val="24"/>
          <w:lang w:val="en-US" w:eastAsia="zh-CN"/>
        </w:rPr>
      </w:pPr>
      <w:r>
        <w:rPr>
          <w:rFonts w:hint="eastAsia" w:ascii="宋体" w:hAnsi="宋体" w:eastAsia="宋体" w:cs="仿宋_GB2312"/>
          <w:b w:val="0"/>
          <w:bCs w:val="0"/>
          <w:sz w:val="24"/>
          <w:szCs w:val="24"/>
          <w:lang w:val="en-US" w:eastAsia="zh-CN"/>
        </w:rPr>
        <w:t>44.系统满足提供常见疾病针灸处方的主动提示和获取，包括主穴、配穴和针灸手法。</w:t>
      </w:r>
    </w:p>
    <w:p w14:paraId="097FC38E">
      <w:pPr>
        <w:spacing w:line="560" w:lineRule="exact"/>
        <w:ind w:firstLine="480" w:firstLineChars="200"/>
        <w:rPr>
          <w:rFonts w:hint="eastAsia" w:ascii="宋体" w:hAnsi="宋体" w:eastAsia="宋体" w:cs="仿宋_GB2312"/>
          <w:b w:val="0"/>
          <w:bCs w:val="0"/>
          <w:sz w:val="24"/>
          <w:szCs w:val="24"/>
          <w:lang w:val="en-US" w:eastAsia="zh-CN"/>
        </w:rPr>
      </w:pPr>
      <w:r>
        <w:rPr>
          <w:rFonts w:hint="eastAsia" w:ascii="宋体" w:hAnsi="宋体" w:eastAsia="宋体" w:cs="仿宋_GB2312"/>
          <w:b w:val="0"/>
          <w:bCs w:val="0"/>
          <w:sz w:val="24"/>
          <w:szCs w:val="24"/>
          <w:lang w:val="en-US" w:eastAsia="zh-CN"/>
        </w:rPr>
        <w:t>45.支持按经络、部位及人体各视面图检索。</w:t>
      </w:r>
    </w:p>
    <w:p w14:paraId="3A4408CC">
      <w:pPr>
        <w:spacing w:line="560" w:lineRule="exact"/>
        <w:ind w:firstLine="480" w:firstLineChars="200"/>
        <w:rPr>
          <w:rFonts w:hint="eastAsia" w:ascii="宋体" w:hAnsi="宋体" w:eastAsia="宋体" w:cs="仿宋_GB2312"/>
          <w:b w:val="0"/>
          <w:bCs w:val="0"/>
          <w:sz w:val="24"/>
          <w:szCs w:val="24"/>
          <w:lang w:val="en-US" w:eastAsia="zh-CN"/>
        </w:rPr>
      </w:pPr>
      <w:r>
        <w:rPr>
          <w:rFonts w:hint="eastAsia" w:ascii="宋体" w:hAnsi="宋体" w:eastAsia="宋体" w:cs="仿宋_GB2312"/>
          <w:b w:val="0"/>
          <w:bCs w:val="0"/>
          <w:sz w:val="24"/>
          <w:szCs w:val="24"/>
          <w:lang w:val="en-US" w:eastAsia="zh-CN"/>
        </w:rPr>
        <w:t>46.在项目治疗时，系统支持匹配治疗项目，查看常规穴位定位方法、针刺方向、深度、灸法及其功能、适应证、不良反应及禁忌证。</w:t>
      </w:r>
    </w:p>
    <w:p w14:paraId="4FE52016">
      <w:pPr>
        <w:spacing w:line="560" w:lineRule="exact"/>
        <w:ind w:firstLine="480" w:firstLineChars="200"/>
        <w:rPr>
          <w:rFonts w:hint="eastAsia" w:ascii="宋体" w:hAnsi="宋体" w:eastAsia="宋体" w:cs="仿宋_GB2312"/>
          <w:b w:val="0"/>
          <w:bCs w:val="0"/>
          <w:sz w:val="24"/>
          <w:szCs w:val="24"/>
          <w:lang w:val="en-US" w:eastAsia="zh-CN"/>
        </w:rPr>
      </w:pPr>
      <w:r>
        <w:rPr>
          <w:rFonts w:hint="eastAsia" w:ascii="宋体" w:hAnsi="宋体" w:eastAsia="宋体" w:cs="仿宋_GB2312"/>
          <w:b w:val="0"/>
          <w:bCs w:val="0"/>
          <w:sz w:val="24"/>
          <w:szCs w:val="24"/>
          <w:lang w:val="en-US" w:eastAsia="zh-CN"/>
        </w:rPr>
        <w:t>47.系统支持自动获取his医嘱信息，如治疗项目名称、治疗次数、治疗部位、价 格、金额、执行科室、申请科室以及申请医生等，治疗方案包括治疗项目、时间、次数、部位、穴位和中药等。</w:t>
      </w:r>
    </w:p>
    <w:p w14:paraId="2CD3633A">
      <w:pPr>
        <w:spacing w:line="560" w:lineRule="exact"/>
        <w:ind w:firstLine="480" w:firstLineChars="200"/>
        <w:rPr>
          <w:rFonts w:hint="eastAsia" w:ascii="宋体" w:hAnsi="宋体" w:eastAsia="宋体" w:cs="仿宋_GB2312"/>
          <w:b w:val="0"/>
          <w:bCs w:val="0"/>
          <w:sz w:val="24"/>
          <w:szCs w:val="24"/>
          <w:lang w:val="en-US" w:eastAsia="zh-CN"/>
        </w:rPr>
      </w:pPr>
      <w:r>
        <w:rPr>
          <w:rFonts w:hint="eastAsia" w:ascii="宋体" w:hAnsi="宋体" w:eastAsia="宋体" w:cs="仿宋_GB2312"/>
          <w:b w:val="0"/>
          <w:bCs w:val="0"/>
          <w:sz w:val="24"/>
          <w:szCs w:val="24"/>
          <w:lang w:val="en-US" w:eastAsia="zh-CN"/>
        </w:rPr>
        <w:t>48.系统支持中医治疗记录所涉及的的人员电子签名。</w:t>
      </w:r>
    </w:p>
    <w:p w14:paraId="1456186B">
      <w:pPr>
        <w:spacing w:line="560" w:lineRule="exact"/>
        <w:ind w:firstLine="480" w:firstLineChars="200"/>
        <w:rPr>
          <w:rFonts w:hint="eastAsia" w:ascii="宋体" w:hAnsi="宋体" w:eastAsia="宋体" w:cs="仿宋_GB2312"/>
          <w:b w:val="0"/>
          <w:bCs w:val="0"/>
          <w:sz w:val="24"/>
          <w:szCs w:val="24"/>
          <w:lang w:val="en-US" w:eastAsia="zh-CN"/>
        </w:rPr>
      </w:pPr>
      <w:r>
        <w:rPr>
          <w:rFonts w:hint="eastAsia" w:ascii="宋体" w:hAnsi="宋体" w:eastAsia="宋体" w:cs="仿宋_GB2312"/>
          <w:b w:val="0"/>
          <w:bCs w:val="0"/>
          <w:sz w:val="24"/>
          <w:szCs w:val="24"/>
          <w:lang w:val="en-US" w:eastAsia="zh-CN"/>
        </w:rPr>
        <w:t>49.系统支持在中医治疗会诊时，支持申请、开治疗单，满足科室中医治疗要求。</w:t>
      </w:r>
    </w:p>
    <w:p w14:paraId="3CEF8E70">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仿宋_GB2312"/>
          <w:b/>
          <w:bCs/>
          <w:color w:val="000000" w:themeColor="text1"/>
          <w:sz w:val="24"/>
          <w:szCs w:val="24"/>
          <w:lang w:val="en-US" w:eastAsia="zh-CN"/>
          <w14:textFill>
            <w14:solidFill>
              <w14:schemeClr w14:val="tx1"/>
            </w14:solidFill>
          </w14:textFill>
        </w:rPr>
      </w:pPr>
      <w:r>
        <w:rPr>
          <w:rFonts w:hint="eastAsia" w:ascii="宋体" w:hAnsi="宋体" w:eastAsia="宋体" w:cs="仿宋_GB2312"/>
          <w:b/>
          <w:bCs/>
          <w:color w:val="000000" w:themeColor="text1"/>
          <w:sz w:val="24"/>
          <w:szCs w:val="24"/>
          <w:lang w:val="en-US" w:eastAsia="zh-CN"/>
          <w14:textFill>
            <w14:solidFill>
              <w14:schemeClr w14:val="tx1"/>
            </w14:solidFill>
          </w14:textFill>
        </w:rPr>
        <w:t>（六）其他</w:t>
      </w:r>
    </w:p>
    <w:p w14:paraId="5D6ADBDD">
      <w:pPr>
        <w:spacing w:line="560" w:lineRule="exact"/>
        <w:ind w:firstLine="480" w:firstLineChars="200"/>
        <w:rPr>
          <w:rFonts w:hint="eastAsia" w:ascii="宋体" w:hAnsi="宋体" w:eastAsia="宋体" w:cs="仿宋_GB2312"/>
          <w:b w:val="0"/>
          <w:bCs w:val="0"/>
          <w:sz w:val="24"/>
          <w:szCs w:val="24"/>
          <w:lang w:val="en-US" w:eastAsia="zh-CN"/>
        </w:rPr>
      </w:pPr>
      <w:r>
        <w:rPr>
          <w:rFonts w:hint="eastAsia" w:ascii="宋体" w:hAnsi="宋体" w:eastAsia="宋体" w:cs="仿宋_GB2312"/>
          <w:b w:val="0"/>
          <w:bCs w:val="0"/>
          <w:sz w:val="24"/>
          <w:szCs w:val="24"/>
          <w:lang w:val="en-US" w:eastAsia="zh-CN"/>
        </w:rPr>
        <w:t>50.指标管理查询分析功能具备数据图形化展示，包括折线图、扇形图、柱根图等，能够依据用户权限和数据要求视角选择数据范围，并具备数据导出功能。包含中医操作护理人数及收入登记表、中医操作护理人数及收入统计表，护理质量监测指标数据收集日报表，月统计表--护理质量监测指标，住院患者导管数据统计，导管统计(月表)，查对制度落实率数据收集，急救器材完好率数据收集，急救药品完好率数据收集，月统计表-查对、器材、药品，平均白班护患比，备平均白班护患比(月表)，平均夜班护患比统计表，月统计表-每住院患者24小时平均护理时数，均夜班护患比(月表)，平均每天护患比，平均每天护患比(月表)，平均护理时数，平均护理时数(月表)，身体约束，身体约束(月表)，备压力损伤，压力损伤(月表)，跌倒风险，跌倒风险(月表)，护士配置，床护比等。</w:t>
      </w:r>
    </w:p>
    <w:p w14:paraId="12D69192">
      <w:pPr>
        <w:spacing w:line="560" w:lineRule="exact"/>
        <w:ind w:firstLine="480" w:firstLineChars="200"/>
        <w:rPr>
          <w:rFonts w:hint="eastAsia" w:ascii="宋体" w:hAnsi="宋体" w:eastAsia="宋体" w:cs="仿宋_GB2312"/>
          <w:b w:val="0"/>
          <w:bCs w:val="0"/>
          <w:sz w:val="24"/>
          <w:szCs w:val="24"/>
          <w:lang w:val="en-US" w:eastAsia="zh-CN"/>
        </w:rPr>
      </w:pPr>
      <w:r>
        <w:rPr>
          <w:rFonts w:hint="eastAsia" w:ascii="宋体" w:hAnsi="宋体" w:eastAsia="宋体" w:cs="仿宋_GB2312"/>
          <w:b w:val="0"/>
          <w:bCs w:val="0"/>
          <w:sz w:val="24"/>
          <w:szCs w:val="24"/>
          <w:lang w:val="en-US" w:eastAsia="zh-CN"/>
        </w:rPr>
        <w:t>51.系统需与 HIS 系统医护人员账户基本信息同步；具备角色对应权限管理功能，并能将分配的权限应用到相应员工个人权限中；分配每个用户的权限，根据工作的性质不同，可以分配不同的系统权限。</w:t>
      </w:r>
    </w:p>
    <w:p w14:paraId="51836B19">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仿宋_GB2312"/>
          <w:b/>
          <w:bCs/>
          <w:color w:val="000000" w:themeColor="text1"/>
          <w:sz w:val="24"/>
          <w:szCs w:val="24"/>
          <w:lang w:val="en-US" w:eastAsia="zh-CN"/>
          <w14:textFill>
            <w14:solidFill>
              <w14:schemeClr w14:val="tx1"/>
            </w14:solidFill>
          </w14:textFill>
        </w:rPr>
      </w:pPr>
      <w:r>
        <w:rPr>
          <w:rFonts w:hint="eastAsia" w:ascii="宋体" w:hAnsi="宋体" w:eastAsia="宋体" w:cs="仿宋_GB2312"/>
          <w:b/>
          <w:bCs/>
          <w:color w:val="000000" w:themeColor="text1"/>
          <w:sz w:val="24"/>
          <w:szCs w:val="24"/>
          <w:lang w:val="en-US" w:eastAsia="zh-CN"/>
          <w14:textFill>
            <w14:solidFill>
              <w14:schemeClr w14:val="tx1"/>
            </w14:solidFill>
          </w14:textFill>
        </w:rPr>
        <w:t>二、商务要求</w:t>
      </w:r>
    </w:p>
    <w:p w14:paraId="31C27690">
      <w:pPr>
        <w:spacing w:line="560" w:lineRule="exact"/>
        <w:ind w:firstLine="480" w:firstLineChars="200"/>
        <w:rPr>
          <w:rFonts w:hint="eastAsia" w:ascii="宋体" w:hAnsi="宋体" w:eastAsia="宋体" w:cs="仿宋_GB2312"/>
          <w:b w:val="0"/>
          <w:bCs w:val="0"/>
          <w:sz w:val="24"/>
          <w:szCs w:val="24"/>
          <w:lang w:val="en-US" w:eastAsia="zh-CN"/>
        </w:rPr>
      </w:pPr>
      <w:r>
        <w:rPr>
          <w:rFonts w:hint="eastAsia" w:ascii="宋体" w:hAnsi="宋体" w:eastAsia="宋体" w:cs="仿宋_GB2312"/>
          <w:b w:val="0"/>
          <w:bCs w:val="0"/>
          <w:sz w:val="24"/>
          <w:szCs w:val="24"/>
          <w:lang w:val="en-US" w:eastAsia="zh-CN"/>
        </w:rPr>
        <w:t>1.无纸化管理：具备实现无纸化、电子签名，支持身份认证接口封装、支持数字签名接口封装。</w:t>
      </w:r>
    </w:p>
    <w:p w14:paraId="6107D4F0">
      <w:pPr>
        <w:spacing w:line="560" w:lineRule="exact"/>
        <w:ind w:firstLine="480" w:firstLineChars="200"/>
        <w:rPr>
          <w:rFonts w:hint="eastAsia" w:ascii="宋体" w:hAnsi="宋体" w:eastAsia="宋体" w:cs="仿宋_GB2312"/>
          <w:b w:val="0"/>
          <w:bCs w:val="0"/>
          <w:sz w:val="24"/>
          <w:szCs w:val="24"/>
          <w:lang w:val="en-US" w:eastAsia="zh-CN"/>
        </w:rPr>
      </w:pPr>
      <w:r>
        <w:rPr>
          <w:rFonts w:hint="eastAsia" w:ascii="宋体" w:hAnsi="宋体" w:eastAsia="宋体" w:cs="仿宋_GB2312"/>
          <w:b w:val="0"/>
          <w:bCs w:val="0"/>
          <w:sz w:val="24"/>
          <w:szCs w:val="24"/>
          <w:lang w:val="en-US" w:eastAsia="zh-CN"/>
        </w:rPr>
        <w:t>2.系统接口：护理系统与HIS系统具备数据融合、同时中医护理系统嵌入HIS系统，实现操作人员与HIS同步。</w:t>
      </w:r>
    </w:p>
    <w:p w14:paraId="437D9509">
      <w:pPr>
        <w:spacing w:line="560" w:lineRule="exact"/>
        <w:ind w:firstLine="480" w:firstLineChars="200"/>
        <w:rPr>
          <w:rFonts w:hint="eastAsia" w:ascii="宋体" w:hAnsi="宋体" w:eastAsia="宋体" w:cs="仿宋_GB2312"/>
          <w:b w:val="0"/>
          <w:bCs w:val="0"/>
          <w:sz w:val="24"/>
          <w:szCs w:val="24"/>
          <w:lang w:val="en-US" w:eastAsia="zh-CN"/>
        </w:rPr>
      </w:pPr>
      <w:r>
        <w:rPr>
          <w:rFonts w:hint="eastAsia" w:ascii="宋体" w:hAnsi="宋体" w:eastAsia="宋体" w:cs="仿宋_GB2312"/>
          <w:b w:val="0"/>
          <w:bCs w:val="0"/>
          <w:sz w:val="24"/>
          <w:szCs w:val="24"/>
          <w:lang w:val="en-US" w:eastAsia="zh-CN"/>
        </w:rPr>
        <w:t>3.中医治疗：系统满足患者治疗时实现电子签名；中医治疗记录具备有患者电子签名；具备中医治疗记录报表。</w:t>
      </w:r>
    </w:p>
    <w:p w14:paraId="1907F827">
      <w:pPr>
        <w:spacing w:line="560" w:lineRule="exact"/>
        <w:ind w:firstLine="480" w:firstLineChars="200"/>
        <w:rPr>
          <w:rFonts w:hint="eastAsia" w:ascii="宋体" w:hAnsi="宋体" w:eastAsia="宋体" w:cs="仿宋_GB2312"/>
          <w:b w:val="0"/>
          <w:bCs w:val="0"/>
          <w:sz w:val="24"/>
          <w:szCs w:val="24"/>
          <w:lang w:val="en-US" w:eastAsia="zh-CN"/>
        </w:rPr>
      </w:pPr>
      <w:r>
        <w:rPr>
          <w:rFonts w:hint="eastAsia" w:ascii="宋体" w:hAnsi="宋体" w:eastAsia="宋体" w:cs="仿宋_GB2312"/>
          <w:b w:val="0"/>
          <w:bCs w:val="0"/>
          <w:sz w:val="24"/>
          <w:szCs w:val="24"/>
          <w:lang w:val="en-US" w:eastAsia="zh-CN"/>
        </w:rPr>
        <w:t>4.需满足电子病历应用水平五级、互联互通四甲、信创要求。</w:t>
      </w:r>
    </w:p>
    <w:p w14:paraId="7B280E49">
      <w:pPr>
        <w:spacing w:line="560" w:lineRule="exact"/>
        <w:ind w:firstLine="480" w:firstLineChars="200"/>
        <w:rPr>
          <w:rFonts w:hint="eastAsia" w:ascii="宋体" w:hAnsi="宋体" w:eastAsia="宋体" w:cs="仿宋_GB2312"/>
          <w:b w:val="0"/>
          <w:bCs w:val="0"/>
          <w:sz w:val="24"/>
          <w:szCs w:val="24"/>
          <w:lang w:val="en-US" w:eastAsia="zh-CN"/>
        </w:rPr>
      </w:pPr>
      <w:r>
        <w:rPr>
          <w:rFonts w:hint="eastAsia" w:ascii="宋体" w:hAnsi="宋体" w:eastAsia="宋体" w:cs="仿宋_GB2312"/>
          <w:b w:val="0"/>
          <w:bCs w:val="0"/>
          <w:sz w:val="24"/>
          <w:szCs w:val="24"/>
          <w:lang w:val="en-US" w:eastAsia="zh-CN"/>
        </w:rPr>
        <w:t>5.实现系统融合、数据互联互通，满足中医治疗类各个科室的业务协同，满足中医治疗类项目（治疗室工作站）的临床应用。</w:t>
      </w:r>
    </w:p>
    <w:p w14:paraId="7B97B2EF">
      <w:pPr>
        <w:spacing w:line="560" w:lineRule="exact"/>
        <w:ind w:firstLine="480" w:firstLineChars="200"/>
        <w:rPr>
          <w:rFonts w:hint="eastAsia" w:ascii="宋体" w:hAnsi="宋体" w:eastAsia="宋体" w:cs="仿宋_GB2312"/>
          <w:b w:val="0"/>
          <w:bCs w:val="0"/>
          <w:sz w:val="24"/>
          <w:szCs w:val="24"/>
          <w:lang w:val="en-US" w:eastAsia="zh-CN"/>
        </w:rPr>
      </w:pPr>
      <w:r>
        <w:rPr>
          <w:rFonts w:hint="eastAsia" w:ascii="宋体" w:hAnsi="宋体" w:eastAsia="宋体" w:cs="仿宋_GB2312"/>
          <w:b w:val="0"/>
          <w:bCs w:val="0"/>
          <w:sz w:val="24"/>
          <w:szCs w:val="24"/>
          <w:lang w:val="en-US" w:eastAsia="zh-CN"/>
        </w:rPr>
        <w:t>6.完成时间为3个月内</w:t>
      </w:r>
      <w:bookmarkEnd w:id="1"/>
      <w:bookmarkEnd w:id="2"/>
      <w:r>
        <w:rPr>
          <w:rFonts w:hint="eastAsia" w:ascii="宋体" w:hAnsi="宋体" w:eastAsia="宋体" w:cs="仿宋_GB2312"/>
          <w:b w:val="0"/>
          <w:bCs w:val="0"/>
          <w:sz w:val="24"/>
          <w:szCs w:val="24"/>
          <w:lang w:val="en-US" w:eastAsia="zh-CN"/>
        </w:rPr>
        <w:t>。</w:t>
      </w:r>
    </w:p>
    <w:p w14:paraId="27F518BD">
      <w:pPr>
        <w:spacing w:line="560" w:lineRule="exact"/>
        <w:ind w:firstLine="480" w:firstLineChars="200"/>
        <w:rPr>
          <w:rFonts w:hint="default" w:ascii="宋体" w:hAnsi="宋体" w:eastAsia="宋体" w:cs="仿宋_GB2312"/>
          <w:b w:val="0"/>
          <w:bCs w:val="0"/>
          <w:sz w:val="24"/>
          <w:szCs w:val="24"/>
          <w:lang w:val="en-US" w:eastAsia="zh-CN"/>
        </w:rPr>
      </w:pPr>
      <w:r>
        <w:rPr>
          <w:rFonts w:hint="eastAsia" w:ascii="宋体" w:hAnsi="宋体" w:eastAsia="宋体" w:cs="仿宋_GB2312"/>
          <w:b w:val="0"/>
          <w:bCs w:val="0"/>
          <w:sz w:val="24"/>
          <w:szCs w:val="24"/>
          <w:lang w:val="en-US" w:eastAsia="zh-CN"/>
        </w:rPr>
        <w:t>7.项目涉及的系统接口、改造等所有费用由承建方负责。</w:t>
      </w:r>
    </w:p>
    <w:p w14:paraId="2D3CDA3D">
      <w:pPr>
        <w:spacing w:line="360" w:lineRule="auto"/>
        <w:outlineLvl w:val="0"/>
        <w:rPr>
          <w:rFonts w:hint="eastAsia" w:ascii="宋体" w:hAnsi="宋体" w:eastAsia="宋体" w:cs="宋体"/>
          <w:b/>
          <w:bCs/>
          <w:sz w:val="32"/>
          <w:szCs w:val="32"/>
          <w:lang w:val="en-US" w:eastAsia="zh-CN"/>
        </w:rPr>
      </w:pPr>
      <w:r>
        <w:rPr>
          <w:rFonts w:hint="eastAsia" w:ascii="宋体" w:hAnsi="宋体" w:eastAsia="宋体" w:cs="宋体"/>
          <w:b/>
          <w:bCs/>
          <w:sz w:val="32"/>
          <w:szCs w:val="32"/>
        </w:rPr>
        <w:t>附件2：报价</w:t>
      </w:r>
      <w:r>
        <w:rPr>
          <w:rFonts w:hint="eastAsia" w:ascii="宋体" w:hAnsi="宋体" w:eastAsia="宋体" w:cs="宋体"/>
          <w:b/>
          <w:bCs/>
          <w:sz w:val="32"/>
          <w:szCs w:val="32"/>
          <w:lang w:val="en-US" w:eastAsia="zh-CN"/>
        </w:rPr>
        <w:t>格式</w:t>
      </w:r>
    </w:p>
    <w:tbl>
      <w:tblPr>
        <w:tblStyle w:val="9"/>
        <w:tblW w:w="97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74"/>
        <w:gridCol w:w="785"/>
        <w:gridCol w:w="775"/>
        <w:gridCol w:w="1745"/>
        <w:gridCol w:w="1745"/>
      </w:tblGrid>
      <w:tr w14:paraId="2DF153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jc w:val="center"/>
        </w:trPr>
        <w:tc>
          <w:tcPr>
            <w:tcW w:w="4674" w:type="dxa"/>
            <w:noWrap w:val="0"/>
            <w:vAlign w:val="center"/>
          </w:tcPr>
          <w:p w14:paraId="71439DD2">
            <w:pPr>
              <w:pStyle w:val="2"/>
              <w:jc w:val="center"/>
              <w:rPr>
                <w:rFonts w:hint="default" w:ascii="宋体" w:hAnsi="宋体" w:cs="宋体"/>
                <w:color w:val="auto"/>
                <w:kern w:val="0"/>
                <w:sz w:val="24"/>
                <w:szCs w:val="24"/>
                <w:shd w:val="clear" w:color="auto" w:fill="FFFFFF"/>
                <w:lang w:val="en-US" w:eastAsia="zh-CN" w:bidi="ar-SA"/>
              </w:rPr>
            </w:pPr>
            <w:r>
              <w:rPr>
                <w:rFonts w:hint="eastAsia" w:hAnsi="宋体" w:cs="宋体"/>
                <w:color w:val="auto"/>
                <w:kern w:val="0"/>
                <w:sz w:val="24"/>
                <w:szCs w:val="24"/>
                <w:shd w:val="clear" w:color="auto" w:fill="FFFFFF"/>
                <w:lang w:val="en-US" w:eastAsia="zh-CN" w:bidi="ar-SA"/>
              </w:rPr>
              <w:t>项目名称</w:t>
            </w:r>
          </w:p>
        </w:tc>
        <w:tc>
          <w:tcPr>
            <w:tcW w:w="785" w:type="dxa"/>
            <w:noWrap w:val="0"/>
            <w:vAlign w:val="center"/>
          </w:tcPr>
          <w:p w14:paraId="22777697">
            <w:pPr>
              <w:pStyle w:val="2"/>
              <w:jc w:val="center"/>
              <w:rPr>
                <w:rFonts w:hint="eastAsia" w:ascii="宋体" w:hAnsi="宋体" w:cs="宋体"/>
                <w:color w:val="auto"/>
                <w:kern w:val="0"/>
                <w:sz w:val="24"/>
                <w:szCs w:val="24"/>
                <w:shd w:val="clear" w:color="auto" w:fill="FFFFFF"/>
                <w:lang w:val="en-US" w:eastAsia="zh-CN" w:bidi="ar-SA"/>
              </w:rPr>
            </w:pPr>
            <w:r>
              <w:rPr>
                <w:rFonts w:hint="eastAsia" w:hAnsi="宋体" w:cs="宋体"/>
                <w:color w:val="auto"/>
                <w:kern w:val="0"/>
                <w:sz w:val="24"/>
                <w:szCs w:val="24"/>
                <w:shd w:val="clear" w:color="auto" w:fill="FFFFFF"/>
                <w:lang w:val="en-US" w:eastAsia="zh-CN" w:bidi="ar-SA"/>
              </w:rPr>
              <w:t>单位</w:t>
            </w:r>
          </w:p>
        </w:tc>
        <w:tc>
          <w:tcPr>
            <w:tcW w:w="775" w:type="dxa"/>
            <w:noWrap w:val="0"/>
            <w:vAlign w:val="center"/>
          </w:tcPr>
          <w:p w14:paraId="6A949A78">
            <w:pPr>
              <w:pStyle w:val="2"/>
              <w:jc w:val="center"/>
              <w:rPr>
                <w:rFonts w:hint="default" w:ascii="宋体" w:hAnsi="宋体" w:cs="宋体"/>
                <w:color w:val="auto"/>
                <w:kern w:val="0"/>
                <w:sz w:val="24"/>
                <w:szCs w:val="24"/>
                <w:shd w:val="clear" w:color="auto" w:fill="FFFFFF"/>
                <w:lang w:val="en-US" w:eastAsia="zh-CN" w:bidi="ar-SA"/>
              </w:rPr>
            </w:pPr>
            <w:r>
              <w:rPr>
                <w:rFonts w:hint="eastAsia" w:hAnsi="宋体" w:cs="宋体"/>
                <w:color w:val="auto"/>
                <w:kern w:val="0"/>
                <w:sz w:val="24"/>
                <w:szCs w:val="24"/>
                <w:shd w:val="clear" w:color="auto" w:fill="FFFFFF"/>
                <w:lang w:val="en-US" w:eastAsia="zh-CN" w:bidi="ar-SA"/>
              </w:rPr>
              <w:t>数量</w:t>
            </w:r>
          </w:p>
        </w:tc>
        <w:tc>
          <w:tcPr>
            <w:tcW w:w="1745" w:type="dxa"/>
            <w:noWrap w:val="0"/>
            <w:vAlign w:val="center"/>
          </w:tcPr>
          <w:p w14:paraId="57935529">
            <w:pPr>
              <w:pStyle w:val="2"/>
              <w:jc w:val="center"/>
              <w:rPr>
                <w:rFonts w:hint="eastAsia" w:ascii="宋体" w:hAnsi="宋体" w:cs="宋体"/>
                <w:color w:val="auto"/>
                <w:kern w:val="0"/>
                <w:sz w:val="24"/>
                <w:szCs w:val="24"/>
                <w:shd w:val="clear" w:color="auto" w:fill="FFFFFF"/>
                <w:lang w:val="en-US" w:eastAsia="zh-CN" w:bidi="ar-SA"/>
              </w:rPr>
            </w:pPr>
            <w:r>
              <w:rPr>
                <w:rFonts w:hint="eastAsia" w:hAnsi="宋体" w:cs="宋体"/>
                <w:color w:val="auto"/>
                <w:kern w:val="0"/>
                <w:sz w:val="24"/>
                <w:szCs w:val="24"/>
                <w:shd w:val="clear" w:color="auto" w:fill="FFFFFF"/>
                <w:lang w:val="en-US" w:eastAsia="zh-CN" w:bidi="ar-SA"/>
              </w:rPr>
              <w:t>合计（万元）</w:t>
            </w:r>
          </w:p>
        </w:tc>
        <w:tc>
          <w:tcPr>
            <w:tcW w:w="1745" w:type="dxa"/>
            <w:noWrap w:val="0"/>
            <w:vAlign w:val="center"/>
          </w:tcPr>
          <w:p w14:paraId="422FC022">
            <w:pPr>
              <w:pStyle w:val="2"/>
              <w:jc w:val="center"/>
              <w:rPr>
                <w:rFonts w:hint="eastAsia" w:hAnsi="宋体" w:cs="宋体"/>
                <w:color w:val="auto"/>
                <w:kern w:val="0"/>
                <w:sz w:val="24"/>
                <w:szCs w:val="24"/>
                <w:shd w:val="clear" w:color="auto" w:fill="FFFFFF"/>
                <w:lang w:val="en-US" w:eastAsia="zh-CN" w:bidi="ar-SA"/>
              </w:rPr>
            </w:pPr>
            <w:r>
              <w:rPr>
                <w:rFonts w:hint="eastAsia" w:hAnsi="宋体" w:cs="宋体"/>
                <w:color w:val="auto"/>
                <w:kern w:val="0"/>
                <w:sz w:val="24"/>
                <w:szCs w:val="24"/>
                <w:shd w:val="clear" w:color="auto" w:fill="FFFFFF"/>
                <w:lang w:val="en-US" w:eastAsia="zh-CN" w:bidi="ar-SA"/>
              </w:rPr>
              <w:t>备注</w:t>
            </w:r>
          </w:p>
        </w:tc>
      </w:tr>
    </w:tbl>
    <w:p w14:paraId="3F3D3435">
      <w:pPr>
        <w:keepNext w:val="0"/>
        <w:keepLines w:val="0"/>
        <w:widowControl/>
        <w:suppressLineNumbers w:val="0"/>
        <w:jc w:val="left"/>
        <w:textAlignment w:val="top"/>
        <w:rPr>
          <w:rFonts w:hint="eastAsia" w:ascii="等线" w:hAnsi="等线" w:eastAsia="等线" w:cs="等线"/>
          <w:i w:val="0"/>
          <w:iCs w:val="0"/>
          <w:color w:val="000000"/>
          <w:kern w:val="0"/>
          <w:sz w:val="22"/>
          <w:szCs w:val="22"/>
          <w:u w:val="none"/>
          <w:lang w:val="en-US" w:eastAsia="zh-CN" w:bidi="ar"/>
        </w:rPr>
      </w:pPr>
    </w:p>
    <w:tbl>
      <w:tblPr>
        <w:tblStyle w:val="9"/>
        <w:tblW w:w="97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74"/>
        <w:gridCol w:w="785"/>
        <w:gridCol w:w="775"/>
        <w:gridCol w:w="1745"/>
        <w:gridCol w:w="1745"/>
      </w:tblGrid>
      <w:tr w14:paraId="0BAF5F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8" w:hRule="atLeast"/>
          <w:jc w:val="center"/>
        </w:trPr>
        <w:tc>
          <w:tcPr>
            <w:tcW w:w="4674" w:type="dxa"/>
            <w:noWrap w:val="0"/>
            <w:vAlign w:val="center"/>
          </w:tcPr>
          <w:p w14:paraId="628C353A">
            <w:pPr>
              <w:keepNext w:val="0"/>
              <w:keepLines w:val="0"/>
              <w:widowControl/>
              <w:suppressLineNumbers w:val="0"/>
              <w:jc w:val="left"/>
              <w:textAlignment w:val="top"/>
              <w:rPr>
                <w:rFonts w:hint="eastAsia" w:ascii="宋体" w:hAnsi="宋体" w:eastAsia="宋体" w:cs="宋体"/>
                <w:color w:val="auto"/>
                <w:kern w:val="0"/>
                <w:sz w:val="24"/>
                <w:szCs w:val="24"/>
                <w:shd w:val="clear" w:color="auto" w:fill="FFFFFF"/>
                <w:lang w:val="en-US" w:eastAsia="zh-CN" w:bidi="ar-SA"/>
              </w:rPr>
            </w:pPr>
            <w:r>
              <w:rPr>
                <w:rFonts w:hint="eastAsia" w:ascii="宋体" w:hAnsi="宋体" w:eastAsia="宋体" w:cs="仿宋_GB2312"/>
                <w:b w:val="0"/>
                <w:bCs w:val="0"/>
                <w:sz w:val="24"/>
                <w:szCs w:val="24"/>
                <w:lang w:val="en-US" w:eastAsia="zh-CN"/>
              </w:rPr>
              <w:t>成都市新津区中医医院中医特色诊疗系统采购项目</w:t>
            </w:r>
          </w:p>
        </w:tc>
        <w:tc>
          <w:tcPr>
            <w:tcW w:w="785" w:type="dxa"/>
            <w:noWrap w:val="0"/>
            <w:vAlign w:val="center"/>
          </w:tcPr>
          <w:p w14:paraId="48FFBCD0">
            <w:pPr>
              <w:pStyle w:val="2"/>
              <w:jc w:val="center"/>
              <w:rPr>
                <w:rFonts w:hint="eastAsia" w:ascii="宋体" w:hAnsi="宋体" w:eastAsia="宋体" w:cs="宋体"/>
                <w:color w:val="auto"/>
                <w:kern w:val="0"/>
                <w:sz w:val="24"/>
                <w:szCs w:val="24"/>
                <w:shd w:val="clear" w:color="auto" w:fill="FFFFFF"/>
                <w:lang w:val="en-US" w:eastAsia="zh-CN" w:bidi="ar-SA"/>
              </w:rPr>
            </w:pPr>
            <w:r>
              <w:rPr>
                <w:rFonts w:hint="eastAsia" w:hAnsi="宋体" w:eastAsia="宋体" w:cs="宋体"/>
                <w:color w:val="auto"/>
                <w:kern w:val="0"/>
                <w:sz w:val="24"/>
                <w:szCs w:val="24"/>
                <w:shd w:val="clear" w:color="auto" w:fill="FFFFFF"/>
                <w:lang w:val="en-US" w:eastAsia="zh-CN" w:bidi="ar-SA"/>
              </w:rPr>
              <w:t>项</w:t>
            </w:r>
          </w:p>
        </w:tc>
        <w:tc>
          <w:tcPr>
            <w:tcW w:w="775" w:type="dxa"/>
            <w:noWrap w:val="0"/>
            <w:vAlign w:val="center"/>
          </w:tcPr>
          <w:p w14:paraId="1A8A3156">
            <w:pPr>
              <w:pStyle w:val="2"/>
              <w:jc w:val="center"/>
              <w:rPr>
                <w:rFonts w:hint="default" w:ascii="宋体" w:hAnsi="宋体" w:cs="宋体"/>
                <w:color w:val="auto"/>
                <w:kern w:val="0"/>
                <w:sz w:val="24"/>
                <w:szCs w:val="24"/>
                <w:shd w:val="clear" w:color="auto" w:fill="FFFFFF"/>
                <w:lang w:val="en-US" w:eastAsia="zh-CN" w:bidi="ar-SA"/>
              </w:rPr>
            </w:pPr>
            <w:r>
              <w:rPr>
                <w:rFonts w:hint="eastAsia" w:ascii="宋体" w:hAnsi="宋体" w:cs="宋体"/>
                <w:color w:val="auto"/>
                <w:kern w:val="0"/>
                <w:sz w:val="24"/>
                <w:szCs w:val="24"/>
                <w:shd w:val="clear" w:color="auto" w:fill="FFFFFF"/>
                <w:lang w:val="en-US" w:eastAsia="zh-CN" w:bidi="ar-SA"/>
              </w:rPr>
              <w:t>1</w:t>
            </w:r>
          </w:p>
        </w:tc>
        <w:tc>
          <w:tcPr>
            <w:tcW w:w="1745" w:type="dxa"/>
            <w:noWrap w:val="0"/>
            <w:vAlign w:val="center"/>
          </w:tcPr>
          <w:p w14:paraId="10D1EC32">
            <w:pPr>
              <w:pStyle w:val="2"/>
              <w:jc w:val="center"/>
              <w:rPr>
                <w:rFonts w:hint="eastAsia" w:ascii="宋体" w:hAnsi="宋体" w:cs="宋体"/>
                <w:color w:val="auto"/>
                <w:kern w:val="0"/>
                <w:sz w:val="24"/>
                <w:szCs w:val="24"/>
                <w:shd w:val="clear" w:color="auto" w:fill="FFFFFF"/>
                <w:lang w:val="en-US" w:eastAsia="zh-CN" w:bidi="ar-SA"/>
              </w:rPr>
            </w:pPr>
          </w:p>
        </w:tc>
        <w:tc>
          <w:tcPr>
            <w:tcW w:w="1745" w:type="dxa"/>
            <w:noWrap w:val="0"/>
            <w:vAlign w:val="center"/>
          </w:tcPr>
          <w:p w14:paraId="1171BC52">
            <w:pPr>
              <w:pStyle w:val="2"/>
              <w:jc w:val="both"/>
              <w:rPr>
                <w:rFonts w:hint="default" w:ascii="宋体" w:hAnsi="宋体" w:cs="宋体"/>
                <w:color w:val="auto"/>
                <w:kern w:val="0"/>
                <w:sz w:val="24"/>
                <w:szCs w:val="24"/>
                <w:shd w:val="clear" w:color="auto" w:fill="FFFFFF"/>
                <w:lang w:val="en-US" w:eastAsia="zh-CN" w:bidi="ar-SA"/>
              </w:rPr>
            </w:pPr>
          </w:p>
        </w:tc>
      </w:tr>
    </w:tbl>
    <w:p w14:paraId="59D0C6F3">
      <w:pPr>
        <w:spacing w:line="560" w:lineRule="exact"/>
        <w:ind w:firstLine="480" w:firstLineChars="200"/>
        <w:rPr>
          <w:rFonts w:hint="eastAsia" w:ascii="宋体" w:hAnsi="宋体" w:eastAsia="宋体" w:cs="仿宋_GB2312"/>
          <w:b w:val="0"/>
          <w:bCs w:val="0"/>
          <w:sz w:val="24"/>
          <w:szCs w:val="24"/>
          <w:lang w:val="en-US" w:eastAsia="zh-CN"/>
        </w:rPr>
      </w:pPr>
      <w:r>
        <w:rPr>
          <w:rFonts w:hint="eastAsia" w:ascii="宋体" w:hAnsi="宋体" w:eastAsia="宋体" w:cs="仿宋_GB2312"/>
          <w:b w:val="0"/>
          <w:bCs w:val="0"/>
          <w:sz w:val="24"/>
          <w:szCs w:val="24"/>
          <w:lang w:val="en-US" w:eastAsia="zh-CN"/>
        </w:rPr>
        <w:t>备注：报价表如有列举项目不全的，各报价公司可以在原表上添项，不能改变原表格内容。报价合计总价在列表末汇总。</w:t>
      </w:r>
      <w:bookmarkStart w:id="3" w:name="_GoBack"/>
      <w:bookmarkEnd w:id="3"/>
    </w:p>
    <w:p w14:paraId="344C1411">
      <w:pPr>
        <w:spacing w:line="360" w:lineRule="auto"/>
        <w:outlineLvl w:val="1"/>
        <w:rPr>
          <w:rFonts w:hint="eastAsia" w:ascii="宋体" w:hAnsi="宋体" w:eastAsia="宋体" w:cs="宋体"/>
          <w:b/>
          <w:bCs/>
          <w:color w:val="000000"/>
          <w:kern w:val="2"/>
          <w:sz w:val="32"/>
          <w:szCs w:val="32"/>
          <w:lang w:val="en-US" w:eastAsia="zh-CN" w:bidi="ar-SA"/>
        </w:rPr>
      </w:pPr>
      <w:r>
        <w:rPr>
          <w:rFonts w:hint="eastAsia" w:ascii="宋体" w:hAnsi="宋体" w:eastAsia="宋体" w:cs="宋体"/>
          <w:b/>
          <w:bCs/>
          <w:color w:val="000000"/>
          <w:kern w:val="2"/>
          <w:sz w:val="32"/>
          <w:szCs w:val="32"/>
          <w:lang w:val="en-US" w:eastAsia="zh-CN" w:bidi="ar-SA"/>
        </w:rPr>
        <w:t>附件3：报名登记表</w:t>
      </w:r>
    </w:p>
    <w:p w14:paraId="37AC5681"/>
    <w:p w14:paraId="11D5D951">
      <w:pPr>
        <w:jc w:val="center"/>
        <w:rPr>
          <w:rFonts w:ascii="华文中宋" w:hAnsi="华文中宋" w:eastAsia="华文中宋"/>
          <w:b/>
          <w:sz w:val="36"/>
          <w:szCs w:val="36"/>
        </w:rPr>
      </w:pPr>
      <w:r>
        <w:rPr>
          <w:rFonts w:hint="eastAsia" w:ascii="华文中宋" w:hAnsi="华文中宋" w:eastAsia="华文中宋"/>
          <w:b/>
          <w:sz w:val="36"/>
          <w:szCs w:val="36"/>
        </w:rPr>
        <w:t>报名登记表</w:t>
      </w:r>
    </w:p>
    <w:p w14:paraId="49EBDF5A"/>
    <w:tbl>
      <w:tblPr>
        <w:tblStyle w:val="9"/>
        <w:tblW w:w="9432"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420"/>
        <w:gridCol w:w="1980"/>
        <w:gridCol w:w="1440"/>
        <w:gridCol w:w="2592"/>
      </w:tblGrid>
      <w:tr w14:paraId="3D79BA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8" w:hRule="atLeast"/>
        </w:trPr>
        <w:tc>
          <w:tcPr>
            <w:tcW w:w="3420" w:type="dxa"/>
            <w:tcBorders>
              <w:top w:val="single" w:color="auto" w:sz="4" w:space="0"/>
              <w:left w:val="single" w:color="auto" w:sz="4" w:space="0"/>
              <w:bottom w:val="single" w:color="auto" w:sz="4" w:space="0"/>
              <w:right w:val="single" w:color="auto" w:sz="4" w:space="0"/>
            </w:tcBorders>
            <w:noWrap w:val="0"/>
            <w:vAlign w:val="center"/>
          </w:tcPr>
          <w:p w14:paraId="0B49088B">
            <w:pPr>
              <w:jc w:val="center"/>
              <w:rPr>
                <w:rFonts w:ascii="仿宋" w:hAnsi="仿宋" w:eastAsia="仿宋"/>
                <w:kern w:val="2"/>
                <w:sz w:val="28"/>
                <w:szCs w:val="28"/>
              </w:rPr>
            </w:pPr>
            <w:r>
              <w:rPr>
                <w:rFonts w:hint="eastAsia"/>
                <w:kern w:val="2"/>
                <w:sz w:val="28"/>
                <w:szCs w:val="28"/>
                <w:lang w:val="en-US" w:eastAsia="zh-CN"/>
              </w:rPr>
              <w:t>*</w:t>
            </w:r>
            <w:r>
              <w:rPr>
                <w:rFonts w:hint="eastAsia" w:ascii="仿宋" w:hAnsi="仿宋" w:eastAsia="仿宋"/>
                <w:kern w:val="2"/>
                <w:sz w:val="28"/>
                <w:szCs w:val="28"/>
              </w:rPr>
              <w:t>报名项目名称（包号）</w:t>
            </w:r>
          </w:p>
        </w:tc>
        <w:tc>
          <w:tcPr>
            <w:tcW w:w="6012" w:type="dxa"/>
            <w:gridSpan w:val="3"/>
            <w:tcBorders>
              <w:top w:val="single" w:color="auto" w:sz="4" w:space="0"/>
              <w:left w:val="single" w:color="auto" w:sz="4" w:space="0"/>
              <w:bottom w:val="single" w:color="auto" w:sz="4" w:space="0"/>
              <w:right w:val="single" w:color="auto" w:sz="4" w:space="0"/>
            </w:tcBorders>
            <w:noWrap w:val="0"/>
            <w:vAlign w:val="top"/>
          </w:tcPr>
          <w:p w14:paraId="19BF245C">
            <w:pPr>
              <w:jc w:val="center"/>
              <w:rPr>
                <w:rFonts w:ascii="仿宋" w:hAnsi="仿宋" w:eastAsia="仿宋"/>
                <w:kern w:val="2"/>
                <w:sz w:val="28"/>
                <w:szCs w:val="28"/>
              </w:rPr>
            </w:pPr>
          </w:p>
        </w:tc>
      </w:tr>
      <w:tr w14:paraId="335308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9" w:hRule="atLeast"/>
        </w:trPr>
        <w:tc>
          <w:tcPr>
            <w:tcW w:w="3420" w:type="dxa"/>
            <w:tcBorders>
              <w:top w:val="single" w:color="auto" w:sz="4" w:space="0"/>
              <w:left w:val="single" w:color="auto" w:sz="4" w:space="0"/>
              <w:bottom w:val="single" w:color="auto" w:sz="4" w:space="0"/>
              <w:right w:val="single" w:color="auto" w:sz="4" w:space="0"/>
            </w:tcBorders>
            <w:noWrap w:val="0"/>
            <w:vAlign w:val="center"/>
          </w:tcPr>
          <w:p w14:paraId="46D46F7C">
            <w:pPr>
              <w:ind w:firstLine="280" w:firstLineChars="100"/>
              <w:rPr>
                <w:rFonts w:ascii="仿宋" w:hAnsi="仿宋" w:eastAsia="仿宋"/>
                <w:kern w:val="2"/>
                <w:sz w:val="28"/>
                <w:szCs w:val="28"/>
              </w:rPr>
            </w:pPr>
            <w:r>
              <w:rPr>
                <w:rFonts w:hint="eastAsia"/>
                <w:kern w:val="2"/>
                <w:sz w:val="28"/>
                <w:szCs w:val="28"/>
                <w:lang w:val="en-US" w:eastAsia="zh-CN"/>
              </w:rPr>
              <w:t>*</w:t>
            </w:r>
            <w:r>
              <w:rPr>
                <w:rFonts w:hint="eastAsia" w:ascii="仿宋" w:hAnsi="仿宋" w:eastAsia="仿宋"/>
                <w:kern w:val="2"/>
                <w:sz w:val="28"/>
                <w:szCs w:val="28"/>
              </w:rPr>
              <w:t>报名单位 /个人名称</w:t>
            </w:r>
          </w:p>
          <w:p w14:paraId="36D2E676">
            <w:pPr>
              <w:ind w:firstLine="236" w:firstLineChars="98"/>
              <w:rPr>
                <w:rFonts w:ascii="仿宋" w:hAnsi="仿宋" w:eastAsia="仿宋"/>
                <w:b/>
                <w:kern w:val="2"/>
                <w:sz w:val="24"/>
                <w:szCs w:val="24"/>
              </w:rPr>
            </w:pPr>
            <w:r>
              <w:rPr>
                <w:rFonts w:hint="eastAsia" w:ascii="仿宋" w:hAnsi="仿宋" w:eastAsia="仿宋"/>
                <w:b/>
                <w:kern w:val="2"/>
                <w:sz w:val="24"/>
              </w:rPr>
              <w:t>(统一社会信用代码/税号)</w:t>
            </w:r>
          </w:p>
        </w:tc>
        <w:tc>
          <w:tcPr>
            <w:tcW w:w="6012" w:type="dxa"/>
            <w:gridSpan w:val="3"/>
            <w:tcBorders>
              <w:top w:val="single" w:color="auto" w:sz="4" w:space="0"/>
              <w:left w:val="single" w:color="auto" w:sz="4" w:space="0"/>
              <w:bottom w:val="single" w:color="auto" w:sz="4" w:space="0"/>
              <w:right w:val="single" w:color="auto" w:sz="4" w:space="0"/>
            </w:tcBorders>
            <w:noWrap w:val="0"/>
            <w:vAlign w:val="top"/>
          </w:tcPr>
          <w:p w14:paraId="19673902">
            <w:pPr>
              <w:jc w:val="center"/>
              <w:rPr>
                <w:rFonts w:hint="default" w:ascii="仿宋" w:hAnsi="仿宋" w:eastAsia="仿宋"/>
                <w:kern w:val="2"/>
                <w:sz w:val="28"/>
                <w:szCs w:val="28"/>
                <w:lang w:val="en-US" w:eastAsia="zh-CN"/>
              </w:rPr>
            </w:pPr>
            <w:r>
              <w:rPr>
                <w:rFonts w:hint="eastAsia"/>
                <w:kern w:val="2"/>
                <w:sz w:val="28"/>
                <w:szCs w:val="28"/>
                <w:lang w:val="en-US" w:eastAsia="zh-CN"/>
              </w:rPr>
              <w:t xml:space="preserve">                              （盖章）</w:t>
            </w:r>
          </w:p>
        </w:tc>
      </w:tr>
      <w:tr w14:paraId="105855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4" w:hRule="atLeast"/>
        </w:trPr>
        <w:tc>
          <w:tcPr>
            <w:tcW w:w="3420" w:type="dxa"/>
            <w:tcBorders>
              <w:top w:val="single" w:color="auto" w:sz="4" w:space="0"/>
              <w:left w:val="single" w:color="auto" w:sz="4" w:space="0"/>
              <w:bottom w:val="single" w:color="auto" w:sz="4" w:space="0"/>
              <w:right w:val="single" w:color="auto" w:sz="4" w:space="0"/>
            </w:tcBorders>
            <w:noWrap w:val="0"/>
            <w:vAlign w:val="center"/>
          </w:tcPr>
          <w:p w14:paraId="67F5B26A">
            <w:pPr>
              <w:jc w:val="center"/>
              <w:rPr>
                <w:rFonts w:ascii="仿宋" w:hAnsi="仿宋" w:eastAsia="仿宋"/>
                <w:kern w:val="2"/>
                <w:sz w:val="28"/>
                <w:szCs w:val="28"/>
              </w:rPr>
            </w:pPr>
            <w:r>
              <w:rPr>
                <w:rFonts w:hint="eastAsia"/>
                <w:kern w:val="2"/>
                <w:sz w:val="28"/>
                <w:szCs w:val="28"/>
                <w:lang w:val="en-US" w:eastAsia="zh-CN"/>
              </w:rPr>
              <w:t>*</w:t>
            </w:r>
            <w:r>
              <w:rPr>
                <w:rFonts w:hint="eastAsia" w:ascii="仿宋" w:hAnsi="仿宋" w:eastAsia="仿宋"/>
                <w:kern w:val="2"/>
                <w:sz w:val="28"/>
                <w:szCs w:val="28"/>
              </w:rPr>
              <w:t>单位  / 个人地址</w:t>
            </w:r>
          </w:p>
        </w:tc>
        <w:tc>
          <w:tcPr>
            <w:tcW w:w="6012" w:type="dxa"/>
            <w:gridSpan w:val="3"/>
            <w:tcBorders>
              <w:top w:val="single" w:color="auto" w:sz="4" w:space="0"/>
              <w:left w:val="single" w:color="auto" w:sz="4" w:space="0"/>
              <w:bottom w:val="single" w:color="auto" w:sz="4" w:space="0"/>
              <w:right w:val="single" w:color="auto" w:sz="4" w:space="0"/>
            </w:tcBorders>
            <w:noWrap w:val="0"/>
            <w:vAlign w:val="top"/>
          </w:tcPr>
          <w:p w14:paraId="254591AF">
            <w:pPr>
              <w:jc w:val="center"/>
              <w:rPr>
                <w:rFonts w:ascii="仿宋" w:hAnsi="仿宋" w:eastAsia="仿宋"/>
                <w:kern w:val="2"/>
                <w:sz w:val="28"/>
                <w:szCs w:val="28"/>
              </w:rPr>
            </w:pPr>
          </w:p>
        </w:tc>
      </w:tr>
      <w:tr w14:paraId="43C850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trPr>
        <w:tc>
          <w:tcPr>
            <w:tcW w:w="3420" w:type="dxa"/>
            <w:tcBorders>
              <w:top w:val="single" w:color="auto" w:sz="4" w:space="0"/>
              <w:left w:val="single" w:color="auto" w:sz="4" w:space="0"/>
              <w:bottom w:val="single" w:color="auto" w:sz="4" w:space="0"/>
              <w:right w:val="single" w:color="auto" w:sz="4" w:space="0"/>
            </w:tcBorders>
            <w:noWrap w:val="0"/>
            <w:vAlign w:val="center"/>
          </w:tcPr>
          <w:p w14:paraId="1B9D326A">
            <w:pPr>
              <w:jc w:val="center"/>
              <w:rPr>
                <w:rFonts w:hint="eastAsia" w:ascii="仿宋" w:hAnsi="仿宋" w:eastAsia="仿宋"/>
                <w:kern w:val="2"/>
                <w:sz w:val="28"/>
                <w:szCs w:val="28"/>
                <w:lang w:eastAsia="zh-CN"/>
              </w:rPr>
            </w:pPr>
            <w:r>
              <w:rPr>
                <w:rFonts w:hint="eastAsia" w:ascii="仿宋" w:hAnsi="仿宋" w:eastAsia="仿宋"/>
                <w:kern w:val="2"/>
                <w:sz w:val="28"/>
                <w:szCs w:val="28"/>
              </w:rPr>
              <w:t>单位电话</w:t>
            </w:r>
            <w:r>
              <w:rPr>
                <w:rFonts w:hint="eastAsia" w:ascii="仿宋" w:hAnsi="仿宋" w:eastAsia="仿宋"/>
                <w:kern w:val="2"/>
                <w:sz w:val="24"/>
              </w:rPr>
              <w:t xml:space="preserve"> </w:t>
            </w:r>
          </w:p>
        </w:tc>
        <w:tc>
          <w:tcPr>
            <w:tcW w:w="6012" w:type="dxa"/>
            <w:gridSpan w:val="3"/>
            <w:tcBorders>
              <w:top w:val="single" w:color="auto" w:sz="4" w:space="0"/>
              <w:left w:val="single" w:color="auto" w:sz="4" w:space="0"/>
              <w:bottom w:val="single" w:color="auto" w:sz="4" w:space="0"/>
              <w:right w:val="single" w:color="auto" w:sz="4" w:space="0"/>
            </w:tcBorders>
            <w:noWrap w:val="0"/>
            <w:vAlign w:val="top"/>
          </w:tcPr>
          <w:p w14:paraId="6DB1805E">
            <w:pPr>
              <w:rPr>
                <w:rFonts w:ascii="仿宋" w:hAnsi="仿宋" w:eastAsia="仿宋"/>
                <w:kern w:val="2"/>
                <w:sz w:val="24"/>
                <w:szCs w:val="24"/>
              </w:rPr>
            </w:pPr>
          </w:p>
        </w:tc>
      </w:tr>
      <w:tr w14:paraId="1B63B0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8" w:hRule="atLeast"/>
        </w:trPr>
        <w:tc>
          <w:tcPr>
            <w:tcW w:w="3420" w:type="dxa"/>
            <w:tcBorders>
              <w:top w:val="single" w:color="auto" w:sz="4" w:space="0"/>
              <w:left w:val="single" w:color="auto" w:sz="4" w:space="0"/>
              <w:bottom w:val="single" w:color="auto" w:sz="4" w:space="0"/>
              <w:right w:val="single" w:color="auto" w:sz="4" w:space="0"/>
            </w:tcBorders>
            <w:noWrap w:val="0"/>
            <w:vAlign w:val="center"/>
          </w:tcPr>
          <w:p w14:paraId="7DF8D78E">
            <w:pPr>
              <w:jc w:val="center"/>
              <w:rPr>
                <w:rFonts w:ascii="仿宋" w:hAnsi="仿宋" w:eastAsia="仿宋"/>
                <w:kern w:val="2"/>
                <w:sz w:val="28"/>
                <w:szCs w:val="28"/>
              </w:rPr>
            </w:pPr>
            <w:r>
              <w:rPr>
                <w:rFonts w:hint="eastAsia"/>
                <w:kern w:val="2"/>
                <w:sz w:val="28"/>
                <w:szCs w:val="28"/>
                <w:lang w:val="en-US" w:eastAsia="zh-CN"/>
              </w:rPr>
              <w:t>*经办</w:t>
            </w:r>
            <w:r>
              <w:rPr>
                <w:rFonts w:hint="eastAsia" w:ascii="仿宋" w:hAnsi="仿宋" w:eastAsia="仿宋"/>
                <w:kern w:val="2"/>
                <w:sz w:val="28"/>
                <w:szCs w:val="28"/>
              </w:rPr>
              <w:t>联系人</w:t>
            </w:r>
          </w:p>
        </w:tc>
        <w:tc>
          <w:tcPr>
            <w:tcW w:w="1980" w:type="dxa"/>
            <w:tcBorders>
              <w:top w:val="single" w:color="auto" w:sz="4" w:space="0"/>
              <w:left w:val="single" w:color="auto" w:sz="4" w:space="0"/>
              <w:bottom w:val="single" w:color="auto" w:sz="4" w:space="0"/>
              <w:right w:val="single" w:color="auto" w:sz="4" w:space="0"/>
            </w:tcBorders>
            <w:noWrap w:val="0"/>
            <w:vAlign w:val="top"/>
          </w:tcPr>
          <w:p w14:paraId="1F632B3C">
            <w:pPr>
              <w:jc w:val="center"/>
              <w:rPr>
                <w:rFonts w:ascii="仿宋" w:hAnsi="仿宋" w:eastAsia="仿宋"/>
                <w:kern w:val="2"/>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670A680D">
            <w:pPr>
              <w:jc w:val="center"/>
              <w:rPr>
                <w:rFonts w:ascii="仿宋" w:hAnsi="仿宋" w:eastAsia="仿宋"/>
                <w:kern w:val="2"/>
                <w:sz w:val="28"/>
                <w:szCs w:val="28"/>
              </w:rPr>
            </w:pPr>
            <w:r>
              <w:rPr>
                <w:rFonts w:hint="eastAsia"/>
                <w:kern w:val="2"/>
                <w:sz w:val="28"/>
                <w:szCs w:val="28"/>
                <w:lang w:val="en-US" w:eastAsia="zh-CN"/>
              </w:rPr>
              <w:t>*</w:t>
            </w:r>
            <w:r>
              <w:rPr>
                <w:rFonts w:hint="eastAsia" w:ascii="仿宋" w:hAnsi="仿宋" w:eastAsia="仿宋"/>
                <w:kern w:val="2"/>
                <w:sz w:val="28"/>
                <w:szCs w:val="28"/>
              </w:rPr>
              <w:t>手 机</w:t>
            </w:r>
          </w:p>
        </w:tc>
        <w:tc>
          <w:tcPr>
            <w:tcW w:w="2592" w:type="dxa"/>
            <w:tcBorders>
              <w:top w:val="single" w:color="auto" w:sz="4" w:space="0"/>
              <w:left w:val="single" w:color="auto" w:sz="4" w:space="0"/>
              <w:bottom w:val="single" w:color="auto" w:sz="4" w:space="0"/>
              <w:right w:val="single" w:color="auto" w:sz="4" w:space="0"/>
            </w:tcBorders>
            <w:noWrap w:val="0"/>
            <w:vAlign w:val="top"/>
          </w:tcPr>
          <w:p w14:paraId="1ED90068">
            <w:pPr>
              <w:jc w:val="center"/>
              <w:rPr>
                <w:rFonts w:ascii="仿宋" w:hAnsi="仿宋" w:eastAsia="仿宋"/>
                <w:kern w:val="2"/>
                <w:sz w:val="28"/>
                <w:szCs w:val="28"/>
              </w:rPr>
            </w:pPr>
          </w:p>
        </w:tc>
      </w:tr>
      <w:tr w14:paraId="0A1635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0" w:hRule="atLeast"/>
        </w:trPr>
        <w:tc>
          <w:tcPr>
            <w:tcW w:w="3420" w:type="dxa"/>
            <w:tcBorders>
              <w:top w:val="single" w:color="auto" w:sz="4" w:space="0"/>
              <w:left w:val="single" w:color="auto" w:sz="4" w:space="0"/>
              <w:bottom w:val="single" w:color="auto" w:sz="4" w:space="0"/>
              <w:right w:val="single" w:color="auto" w:sz="4" w:space="0"/>
            </w:tcBorders>
            <w:noWrap w:val="0"/>
            <w:vAlign w:val="center"/>
          </w:tcPr>
          <w:p w14:paraId="490E5DF7">
            <w:pPr>
              <w:jc w:val="center"/>
              <w:rPr>
                <w:rFonts w:ascii="仿宋" w:hAnsi="仿宋" w:eastAsia="仿宋"/>
                <w:kern w:val="2"/>
                <w:sz w:val="28"/>
                <w:szCs w:val="28"/>
              </w:rPr>
            </w:pPr>
            <w:r>
              <w:rPr>
                <w:rFonts w:hint="eastAsia" w:ascii="仿宋" w:hAnsi="仿宋" w:eastAsia="仿宋"/>
                <w:kern w:val="2"/>
                <w:sz w:val="28"/>
                <w:szCs w:val="28"/>
              </w:rPr>
              <w:t>邮     箱</w:t>
            </w:r>
          </w:p>
        </w:tc>
        <w:tc>
          <w:tcPr>
            <w:tcW w:w="6012" w:type="dxa"/>
            <w:gridSpan w:val="3"/>
            <w:tcBorders>
              <w:top w:val="single" w:color="auto" w:sz="4" w:space="0"/>
              <w:left w:val="single" w:color="auto" w:sz="4" w:space="0"/>
              <w:bottom w:val="single" w:color="auto" w:sz="4" w:space="0"/>
              <w:right w:val="single" w:color="auto" w:sz="4" w:space="0"/>
            </w:tcBorders>
            <w:noWrap w:val="0"/>
            <w:vAlign w:val="top"/>
          </w:tcPr>
          <w:p w14:paraId="32BF13E2">
            <w:pPr>
              <w:jc w:val="center"/>
              <w:rPr>
                <w:rFonts w:ascii="仿宋" w:hAnsi="仿宋" w:eastAsia="仿宋"/>
                <w:kern w:val="2"/>
                <w:sz w:val="28"/>
                <w:szCs w:val="28"/>
              </w:rPr>
            </w:pPr>
          </w:p>
        </w:tc>
      </w:tr>
      <w:tr w14:paraId="13DD8C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3420" w:type="dxa"/>
            <w:tcBorders>
              <w:top w:val="single" w:color="auto" w:sz="4" w:space="0"/>
              <w:left w:val="single" w:color="auto" w:sz="4" w:space="0"/>
              <w:bottom w:val="single" w:color="auto" w:sz="4" w:space="0"/>
              <w:right w:val="single" w:color="auto" w:sz="4" w:space="0"/>
            </w:tcBorders>
            <w:noWrap w:val="0"/>
            <w:vAlign w:val="center"/>
          </w:tcPr>
          <w:p w14:paraId="25B7784A">
            <w:pPr>
              <w:jc w:val="center"/>
              <w:rPr>
                <w:rFonts w:ascii="仿宋" w:hAnsi="仿宋" w:eastAsia="仿宋"/>
                <w:kern w:val="2"/>
                <w:sz w:val="28"/>
                <w:szCs w:val="28"/>
              </w:rPr>
            </w:pPr>
            <w:r>
              <w:rPr>
                <w:rFonts w:hint="eastAsia" w:ascii="仿宋" w:hAnsi="仿宋" w:eastAsia="仿宋"/>
                <w:kern w:val="2"/>
                <w:sz w:val="28"/>
                <w:szCs w:val="28"/>
              </w:rPr>
              <w:t>备     注</w:t>
            </w:r>
          </w:p>
        </w:tc>
        <w:tc>
          <w:tcPr>
            <w:tcW w:w="6012" w:type="dxa"/>
            <w:gridSpan w:val="3"/>
            <w:tcBorders>
              <w:top w:val="single" w:color="auto" w:sz="4" w:space="0"/>
              <w:left w:val="single" w:color="auto" w:sz="4" w:space="0"/>
              <w:bottom w:val="single" w:color="auto" w:sz="4" w:space="0"/>
              <w:right w:val="single" w:color="auto" w:sz="4" w:space="0"/>
            </w:tcBorders>
            <w:noWrap w:val="0"/>
            <w:vAlign w:val="top"/>
          </w:tcPr>
          <w:p w14:paraId="352B0637">
            <w:pPr>
              <w:rPr>
                <w:rFonts w:ascii="仿宋" w:hAnsi="仿宋" w:eastAsia="仿宋"/>
                <w:kern w:val="2"/>
                <w:sz w:val="28"/>
                <w:szCs w:val="28"/>
              </w:rPr>
            </w:pPr>
          </w:p>
        </w:tc>
      </w:tr>
    </w:tbl>
    <w:p w14:paraId="28E9893F">
      <w:pPr>
        <w:jc w:val="center"/>
        <w:rPr>
          <w:rFonts w:ascii="Times New Roman"/>
          <w:kern w:val="2"/>
          <w:sz w:val="21"/>
        </w:rPr>
      </w:pPr>
    </w:p>
    <w:p w14:paraId="6743D11D">
      <w:pPr>
        <w:spacing w:line="360" w:lineRule="auto"/>
        <w:rPr>
          <w:rFonts w:hint="default" w:ascii="仿宋" w:hAnsi="仿宋" w:eastAsia="仿宋" w:cs="Times New Roman"/>
          <w:sz w:val="24"/>
          <w:szCs w:val="24"/>
          <w:lang w:val="en-US" w:eastAsia="zh-CN"/>
        </w:rPr>
      </w:pPr>
      <w:r>
        <w:rPr>
          <w:rFonts w:hint="eastAsia" w:ascii="仿宋" w:hAnsi="仿宋" w:eastAsia="仿宋" w:cs="Times New Roman"/>
          <w:sz w:val="24"/>
          <w:szCs w:val="24"/>
        </w:rPr>
        <w:t xml:space="preserve">    </w:t>
      </w:r>
      <w:r>
        <w:rPr>
          <w:rFonts w:hint="eastAsia" w:ascii="仿宋" w:hAnsi="仿宋" w:eastAsia="仿宋" w:cs="Times New Roman"/>
          <w:sz w:val="24"/>
          <w:szCs w:val="24"/>
          <w:lang w:eastAsia="zh-CN"/>
        </w:rPr>
        <w:t>采购单位联系人：</w:t>
      </w:r>
      <w:r>
        <w:rPr>
          <w:rFonts w:hint="eastAsia" w:ascii="仿宋" w:hAnsi="仿宋" w:eastAsia="仿宋" w:cs="Times New Roman"/>
          <w:sz w:val="24"/>
          <w:szCs w:val="24"/>
          <w:lang w:val="en-US" w:eastAsia="zh-CN"/>
        </w:rPr>
        <w:t>王</w:t>
      </w:r>
      <w:r>
        <w:rPr>
          <w:rFonts w:hint="eastAsia" w:ascii="仿宋" w:hAnsi="仿宋" w:eastAsia="仿宋" w:cs="Times New Roman"/>
          <w:sz w:val="24"/>
          <w:szCs w:val="24"/>
          <w:lang w:eastAsia="zh-CN"/>
        </w:rPr>
        <w:t>老师</w:t>
      </w:r>
      <w:r>
        <w:rPr>
          <w:rFonts w:hint="eastAsia" w:ascii="仿宋" w:hAnsi="仿宋" w:eastAsia="仿宋" w:cs="Times New Roman"/>
          <w:sz w:val="24"/>
          <w:szCs w:val="24"/>
          <w:lang w:val="en-US" w:eastAsia="zh-CN"/>
        </w:rPr>
        <w:t xml:space="preserve"> 028-82526150</w:t>
      </w:r>
      <w:r>
        <w:rPr>
          <w:rFonts w:hint="eastAsia" w:ascii="仿宋" w:hAnsi="仿宋" w:eastAsia="仿宋" w:cs="Times New Roman"/>
          <w:sz w:val="24"/>
          <w:szCs w:val="24"/>
          <w:lang w:eastAsia="zh-CN"/>
        </w:rPr>
        <w:t>，</w:t>
      </w:r>
      <w:r>
        <w:rPr>
          <w:rFonts w:hint="eastAsia" w:ascii="仿宋" w:hAnsi="仿宋" w:eastAsia="仿宋" w:cs="Times New Roman"/>
          <w:sz w:val="24"/>
          <w:szCs w:val="24"/>
          <w:lang w:val="en-US" w:eastAsia="zh-CN"/>
        </w:rPr>
        <w:t>邮箱570655548@qq.com</w:t>
      </w:r>
    </w:p>
    <w:p w14:paraId="3E4B405A">
      <w:pPr>
        <w:spacing w:line="360" w:lineRule="auto"/>
        <w:rPr>
          <w:rFonts w:hint="eastAsia" w:ascii="仿宋" w:hAnsi="仿宋" w:eastAsia="仿宋" w:cs="Times New Roman"/>
          <w:color w:val="FF0000"/>
          <w:sz w:val="24"/>
          <w:szCs w:val="24"/>
          <w:highlight w:val="none"/>
          <w:lang w:val="en-US" w:eastAsia="zh-CN"/>
        </w:rPr>
      </w:pPr>
      <w:r>
        <w:rPr>
          <w:rFonts w:hint="eastAsia" w:ascii="仿宋" w:hAnsi="仿宋" w:eastAsia="仿宋" w:cs="Times New Roman"/>
          <w:sz w:val="24"/>
          <w:szCs w:val="24"/>
          <w:lang w:val="en-US" w:eastAsia="zh-CN"/>
        </w:rPr>
        <w:t>注:提供（1）报名登记表扫描件（2）投标单位营业执照副本复印件（3）经办人身份证复印件（以上三条均需加盖供应商公章，提供扫描至以上邮箱）（4）</w:t>
      </w:r>
      <w:r>
        <w:rPr>
          <w:rFonts w:hint="eastAsia" w:ascii="仿宋" w:hAnsi="仿宋" w:eastAsia="仿宋" w:cs="Times New Roman"/>
          <w:color w:val="FF0000"/>
          <w:sz w:val="24"/>
          <w:szCs w:val="24"/>
          <w:highlight w:val="none"/>
          <w:lang w:val="en-US" w:eastAsia="zh-CN"/>
        </w:rPr>
        <w:t>递交响应文件时，把以上3项资料盖章资料一并递交，此3项资料无需密封。</w:t>
      </w:r>
    </w:p>
    <w:p w14:paraId="15FD005A">
      <w:pPr>
        <w:spacing w:line="360" w:lineRule="auto"/>
        <w:rPr>
          <w:rFonts w:hint="eastAsia" w:ascii="仿宋" w:hAnsi="仿宋" w:eastAsia="仿宋" w:cs="Times New Roman"/>
          <w:sz w:val="24"/>
          <w:szCs w:val="24"/>
          <w:lang w:eastAsia="zh-CN"/>
        </w:rPr>
      </w:pPr>
      <w:r>
        <w:rPr>
          <w:rFonts w:hint="eastAsia" w:ascii="仿宋" w:hAnsi="仿宋" w:eastAsia="仿宋" w:cs="Times New Roman"/>
          <w:sz w:val="24"/>
          <w:szCs w:val="24"/>
          <w:lang w:eastAsia="zh-CN"/>
        </w:rPr>
        <w:t>投标单位购买招标文件时请如实认真填写报名登记表和投标人信息；若因投标单位提供的错误或不实信息，对其投标事宜造成影响的，由其投标单位自行承担所有责任。</w:t>
      </w:r>
    </w:p>
    <w:p w14:paraId="6E713ADB"/>
    <w:sectPr>
      <w:pgSz w:w="11906" w:h="16838"/>
      <w:pgMar w:top="1587" w:right="1587" w:bottom="1587"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1" w:fontKey="{6F6AA59D-D7D4-4C9E-AEC6-5A820C1EB088}"/>
  </w:font>
  <w:font w:name="等线">
    <w:panose1 w:val="02010600030101010101"/>
    <w:charset w:val="86"/>
    <w:family w:val="auto"/>
    <w:pitch w:val="default"/>
    <w:sig w:usb0="A00002BF" w:usb1="38CF7CFA" w:usb2="00000016" w:usb3="00000000" w:csb0="0004000F" w:csb1="00000000"/>
    <w:embedRegular r:id="rId2" w:fontKey="{FE7B0F44-8CC1-4B14-BDE6-F125CD5F87E1}"/>
  </w:font>
  <w:font w:name="方正小标宋简体">
    <w:panose1 w:val="02000000000000000000"/>
    <w:charset w:val="86"/>
    <w:family w:val="script"/>
    <w:pitch w:val="default"/>
    <w:sig w:usb0="00000001" w:usb1="08000000" w:usb2="00000000" w:usb3="00000000" w:csb0="00040000" w:csb1="00000000"/>
    <w:embedRegular r:id="rId3" w:fontKey="{6D0605AE-6A84-4B01-8A36-92CFCA7884E4}"/>
  </w:font>
  <w:font w:name="仿宋_GB2312">
    <w:panose1 w:val="02010609030101010101"/>
    <w:charset w:val="86"/>
    <w:family w:val="modern"/>
    <w:pitch w:val="default"/>
    <w:sig w:usb0="00000001" w:usb1="080E0000" w:usb2="00000000" w:usb3="00000000" w:csb0="00040000" w:csb1="00000000"/>
    <w:embedRegular r:id="rId4" w:fontKey="{5E4CDCE8-9088-4D83-8589-7BD99980F4A8}"/>
  </w:font>
  <w:font w:name="仿宋">
    <w:panose1 w:val="02010609060101010101"/>
    <w:charset w:val="86"/>
    <w:family w:val="auto"/>
    <w:pitch w:val="default"/>
    <w:sig w:usb0="800002BF" w:usb1="38CF7CFA" w:usb2="00000016" w:usb3="00000000" w:csb0="00040001" w:csb1="00000000"/>
    <w:embedRegular r:id="rId5" w:fontKey="{893E39F8-D490-4E1C-83BF-FA2BBD476CDB}"/>
  </w:font>
  <w:font w:name="华文中宋">
    <w:panose1 w:val="02010600040101010101"/>
    <w:charset w:val="86"/>
    <w:family w:val="auto"/>
    <w:pitch w:val="default"/>
    <w:sig w:usb0="00000287" w:usb1="080F0000" w:usb2="00000000" w:usb3="00000000" w:csb0="0004009F" w:csb1="DFD70000"/>
    <w:embedRegular r:id="rId6" w:fontKey="{42AE1B64-2510-4FFC-8860-3DF7D448C36A}"/>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56B2D59"/>
    <w:multiLevelType w:val="singleLevel"/>
    <w:tmpl w:val="E56B2D59"/>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E1ZTFlMjFjZDEzODY3NmE0ZDIwNjM3NWU4ZDkyNWQifQ=="/>
  </w:docVars>
  <w:rsids>
    <w:rsidRoot w:val="00000000"/>
    <w:rsid w:val="01CF1907"/>
    <w:rsid w:val="07A15CCC"/>
    <w:rsid w:val="0BB535DC"/>
    <w:rsid w:val="1A3B2345"/>
    <w:rsid w:val="1B5652E9"/>
    <w:rsid w:val="1DDF77A4"/>
    <w:rsid w:val="2EC90B52"/>
    <w:rsid w:val="3B434F78"/>
    <w:rsid w:val="3E3A71C5"/>
    <w:rsid w:val="4A1C049C"/>
    <w:rsid w:val="54332E81"/>
    <w:rsid w:val="54E33228"/>
    <w:rsid w:val="722073D6"/>
    <w:rsid w:val="78102BA7"/>
    <w:rsid w:val="782620AF"/>
    <w:rsid w:val="7A524C8E"/>
    <w:rsid w:val="7AC724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99"/>
    <w:pPr>
      <w:spacing w:after="120"/>
    </w:pPr>
    <w:rPr>
      <w:rFonts w:ascii="宋体" w:hAnsi="Times New Roman"/>
      <w:kern w:val="0"/>
      <w:sz w:val="34"/>
      <w:szCs w:val="20"/>
    </w:rPr>
  </w:style>
  <w:style w:type="paragraph" w:styleId="3">
    <w:name w:val="Body Text Indent"/>
    <w:basedOn w:val="1"/>
    <w:next w:val="4"/>
    <w:qFormat/>
    <w:uiPriority w:val="0"/>
    <w:pPr>
      <w:spacing w:line="500" w:lineRule="exact"/>
      <w:ind w:left="832" w:leftChars="832" w:firstLine="433" w:firstLineChars="196"/>
    </w:pPr>
    <w:rPr>
      <w:sz w:val="24"/>
    </w:rPr>
  </w:style>
  <w:style w:type="paragraph" w:customStyle="1" w:styleId="4">
    <w:name w:val="目录 61"/>
    <w:next w:val="1"/>
    <w:qFormat/>
    <w:uiPriority w:val="0"/>
    <w:pPr>
      <w:wordWrap w:val="0"/>
      <w:ind w:left="2125"/>
      <w:jc w:val="both"/>
    </w:pPr>
    <w:rPr>
      <w:rFonts w:ascii="Calibri" w:hAnsi="Calibri" w:eastAsia="宋体" w:cs="Times New Roman"/>
      <w:sz w:val="21"/>
      <w:lang w:val="en-US" w:eastAsia="zh-CN" w:bidi="ar-SA"/>
    </w:rPr>
  </w:style>
  <w:style w:type="paragraph" w:styleId="5">
    <w:name w:val="List"/>
    <w:basedOn w:val="1"/>
    <w:qFormat/>
    <w:uiPriority w:val="0"/>
    <w:pPr>
      <w:spacing w:line="360" w:lineRule="auto"/>
      <w:ind w:left="200" w:hanging="200" w:hangingChars="200"/>
    </w:pPr>
    <w:rPr>
      <w:rFonts w:ascii="Times New Roman" w:hAnsi="Times New Roman" w:eastAsia="宋体" w:cs="Times New Roman"/>
      <w:sz w:val="24"/>
      <w:szCs w:val="20"/>
    </w:rPr>
  </w:style>
  <w:style w:type="paragraph" w:styleId="6">
    <w:name w:val="Body Text 2"/>
    <w:basedOn w:val="1"/>
    <w:next w:val="2"/>
    <w:qFormat/>
    <w:uiPriority w:val="0"/>
    <w:pPr>
      <w:widowControl/>
      <w:spacing w:before="100" w:beforeAutospacing="1" w:after="100" w:afterAutospacing="1"/>
      <w:jc w:val="left"/>
    </w:pPr>
    <w:rPr>
      <w:rFonts w:hAnsi="宋体"/>
      <w:kern w:val="0"/>
    </w:rPr>
  </w:style>
  <w:style w:type="paragraph" w:styleId="7">
    <w:name w:val="Body Text First Indent"/>
    <w:basedOn w:val="2"/>
    <w:next w:val="1"/>
    <w:qFormat/>
    <w:uiPriority w:val="0"/>
    <w:pPr>
      <w:spacing w:after="0"/>
      <w:ind w:firstLine="200" w:firstLineChars="200"/>
    </w:pPr>
    <w:rPr>
      <w:rFonts w:ascii="Times New Roman" w:hAnsi="Times New Roman"/>
      <w:szCs w:val="24"/>
    </w:rPr>
  </w:style>
  <w:style w:type="paragraph" w:styleId="8">
    <w:name w:val="Body Text First Indent 2"/>
    <w:basedOn w:val="3"/>
    <w:next w:val="1"/>
    <w:qFormat/>
    <w:uiPriority w:val="0"/>
    <w:pPr>
      <w:spacing w:after="120" w:line="240" w:lineRule="auto"/>
      <w:ind w:left="420" w:leftChars="200" w:firstLine="420"/>
    </w:pPr>
    <w:rPr>
      <w:sz w:val="21"/>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2">
    <w:name w:val="List Paragraph"/>
    <w:basedOn w:val="1"/>
    <w:qFormat/>
    <w:uiPriority w:val="34"/>
    <w:pPr>
      <w:ind w:firstLine="420" w:firstLineChars="200"/>
    </w:pPr>
    <w:rPr>
      <w:rFonts w:ascii="等线" w:hAnsi="等线" w:eastAsia="等线" w:cs="Times New Roman"/>
    </w:rPr>
  </w:style>
  <w:style w:type="paragraph" w:customStyle="1" w:styleId="13">
    <w:name w:val="null3"/>
    <w:hidden/>
    <w:qFormat/>
    <w:uiPriority w:val="0"/>
    <w:rPr>
      <w:rFonts w:hint="eastAsia" w:asciiTheme="minorHAnsi" w:hAnsiTheme="minorHAnsi" w:eastAsiaTheme="minorEastAsia" w:cstheme="minorBidi"/>
      <w:lang w:val="en-US" w:eastAsia="zh-Han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5362</Words>
  <Characters>5576</Characters>
  <Lines>0</Lines>
  <Paragraphs>0</Paragraphs>
  <TotalTime>7</TotalTime>
  <ScaleCrop>false</ScaleCrop>
  <LinksUpToDate>false</LinksUpToDate>
  <CharactersWithSpaces>5640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小潘</cp:lastModifiedBy>
  <dcterms:modified xsi:type="dcterms:W3CDTF">2024-11-19T03:42:39Z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A2FE9F5F2104434B82A6D29E7C19BE00_13</vt:lpwstr>
  </property>
</Properties>
</file>