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成都市新津区中医医院</w:t>
      </w:r>
      <w:bookmarkStart w:id="0" w:name="_Hlk92361633"/>
    </w:p>
    <w:bookmarkEnd w:id="0"/>
    <w:p w14:paraId="54D6E39D">
      <w:pPr>
        <w:spacing w:line="700" w:lineRule="exact"/>
        <w:jc w:val="center"/>
        <w:rPr>
          <w:rFonts w:hint="default" w:ascii="宋体" w:hAnsi="宋体" w:eastAsia="宋体" w:cs="方正小标宋简体"/>
          <w:bCs/>
          <w:sz w:val="36"/>
          <w:szCs w:val="36"/>
          <w:lang w:val="en-US" w:eastAsia="zh-CN"/>
        </w:rPr>
      </w:pPr>
      <w:r>
        <w:rPr>
          <w:rFonts w:hint="eastAsia" w:ascii="方正小标宋简体" w:hAnsi="方正小标宋简体" w:eastAsia="方正小标宋简体" w:cs="方正小标宋简体"/>
          <w:b/>
          <w:bCs w:val="0"/>
          <w:sz w:val="44"/>
          <w:szCs w:val="44"/>
          <w:lang w:eastAsia="zh-CN"/>
        </w:rPr>
        <w:t>急诊系统</w:t>
      </w:r>
      <w:r>
        <w:rPr>
          <w:rFonts w:hint="eastAsia" w:ascii="方正小标宋简体" w:hAnsi="方正小标宋简体" w:eastAsia="方正小标宋简体" w:cs="方正小标宋简体"/>
          <w:bCs/>
          <w:sz w:val="44"/>
          <w:szCs w:val="44"/>
          <w:lang w:eastAsia="zh-CN"/>
        </w:rPr>
        <w:t>采购</w:t>
      </w:r>
      <w:r>
        <w:rPr>
          <w:rFonts w:hint="eastAsia" w:ascii="方正小标宋简体" w:hAnsi="方正小标宋简体" w:eastAsia="方正小标宋简体" w:cs="方正小标宋简体"/>
          <w:bCs/>
          <w:sz w:val="44"/>
          <w:szCs w:val="44"/>
          <w:lang w:val="en-US" w:eastAsia="zh-CN"/>
        </w:rPr>
        <w:t>询预算价</w:t>
      </w:r>
      <w:r>
        <w:rPr>
          <w:rFonts w:hint="eastAsia" w:ascii="方正小标宋简体" w:hAnsi="方正小标宋简体" w:eastAsia="方正小标宋简体" w:cs="方正小标宋简体"/>
          <w:bCs/>
          <w:sz w:val="44"/>
          <w:szCs w:val="44"/>
        </w:rPr>
        <w:t>公示</w:t>
      </w:r>
    </w:p>
    <w:p w14:paraId="4CE8C2E2">
      <w:pPr>
        <w:spacing w:line="480" w:lineRule="auto"/>
        <w:rPr>
          <w:rFonts w:hint="eastAsia" w:ascii="宋体" w:hAnsi="宋体" w:cs="仿宋_GB2312"/>
          <w:sz w:val="32"/>
          <w:szCs w:val="32"/>
        </w:rPr>
      </w:pPr>
    </w:p>
    <w:p w14:paraId="5EAD4A9D">
      <w:pPr>
        <w:spacing w:line="480" w:lineRule="auto"/>
        <w:rPr>
          <w:rFonts w:hint="eastAsia" w:ascii="宋体" w:hAnsi="宋体" w:cs="仿宋_GB2312"/>
          <w:sz w:val="24"/>
          <w:szCs w:val="24"/>
        </w:rPr>
      </w:pPr>
      <w:r>
        <w:rPr>
          <w:rFonts w:hint="eastAsia" w:ascii="宋体" w:hAnsi="宋体" w:cs="仿宋_GB2312"/>
          <w:sz w:val="24"/>
          <w:szCs w:val="24"/>
        </w:rPr>
        <w:t>各潜在供应商：</w:t>
      </w:r>
    </w:p>
    <w:p w14:paraId="3D58EF04">
      <w:pPr>
        <w:spacing w:line="560" w:lineRule="exact"/>
        <w:ind w:firstLine="640"/>
        <w:rPr>
          <w:rFonts w:hint="eastAsia" w:ascii="宋体" w:hAnsi="宋体" w:cs="仿宋_GB2312"/>
          <w:sz w:val="24"/>
          <w:szCs w:val="24"/>
        </w:rPr>
      </w:pPr>
      <w:r>
        <w:rPr>
          <w:rFonts w:hint="eastAsia" w:ascii="宋体" w:hAnsi="宋体" w:cs="仿宋_GB2312"/>
          <w:sz w:val="24"/>
          <w:szCs w:val="24"/>
        </w:rPr>
        <w:t>根据医院业务需要，我院拟</w:t>
      </w:r>
      <w:r>
        <w:rPr>
          <w:rFonts w:hint="eastAsia" w:ascii="宋体" w:hAnsi="宋体" w:cs="仿宋_GB2312"/>
          <w:kern w:val="0"/>
          <w:sz w:val="24"/>
          <w:szCs w:val="24"/>
        </w:rPr>
        <w:t>采购</w:t>
      </w:r>
      <w:r>
        <w:rPr>
          <w:rFonts w:hint="eastAsia" w:ascii="宋体" w:hAnsi="宋体" w:cs="仿宋_GB2312"/>
          <w:kern w:val="2"/>
          <w:sz w:val="24"/>
          <w:szCs w:val="24"/>
          <w:lang w:val="en-US" w:eastAsia="zh-CN" w:bidi="ar-SA"/>
        </w:rPr>
        <w:t>急诊</w:t>
      </w:r>
      <w:r>
        <w:rPr>
          <w:rFonts w:hint="eastAsia" w:ascii="宋体" w:hAnsi="宋体" w:eastAsia="宋体" w:cs="仿宋_GB2312"/>
          <w:kern w:val="2"/>
          <w:sz w:val="24"/>
          <w:szCs w:val="24"/>
          <w:lang w:val="en-US" w:eastAsia="zh-CN" w:bidi="ar-SA"/>
        </w:rPr>
        <w:t>系统</w:t>
      </w:r>
      <w:r>
        <w:rPr>
          <w:rFonts w:hint="eastAsia" w:ascii="宋体" w:hAnsi="宋体" w:cs="仿宋_GB2312"/>
          <w:sz w:val="24"/>
          <w:szCs w:val="24"/>
        </w:rPr>
        <w:t>。现将具体采购需求公告如下，各潜在供应商如</w:t>
      </w:r>
      <w:r>
        <w:rPr>
          <w:rFonts w:hint="eastAsia" w:ascii="宋体" w:hAnsi="宋体" w:cs="仿宋_GB2312"/>
          <w:sz w:val="24"/>
          <w:szCs w:val="24"/>
          <w:lang w:val="en-US" w:eastAsia="zh-CN"/>
        </w:rPr>
        <w:t>有意向参与</w:t>
      </w:r>
      <w:r>
        <w:rPr>
          <w:rFonts w:hint="eastAsia" w:ascii="宋体" w:hAnsi="宋体" w:cs="仿宋_GB2312"/>
          <w:sz w:val="24"/>
          <w:szCs w:val="24"/>
        </w:rPr>
        <w:t>，请主动与我院联系，并在公示期内提供以下资料，以便初步甄选。</w:t>
      </w:r>
    </w:p>
    <w:p w14:paraId="640C3185">
      <w:pPr>
        <w:numPr>
          <w:ilvl w:val="0"/>
          <w:numId w:val="1"/>
        </w:numPr>
        <w:spacing w:line="560" w:lineRule="exact"/>
        <w:rPr>
          <w:rFonts w:hint="eastAsia" w:ascii="宋体" w:hAnsi="宋体" w:cs="仿宋_GB2312"/>
          <w:b/>
          <w:bCs/>
          <w:sz w:val="24"/>
          <w:szCs w:val="24"/>
        </w:rPr>
      </w:pPr>
      <w:r>
        <w:rPr>
          <w:rFonts w:hint="eastAsia" w:ascii="宋体" w:hAnsi="宋体" w:cs="仿宋_GB2312"/>
          <w:b/>
          <w:bCs/>
          <w:sz w:val="24"/>
          <w:szCs w:val="24"/>
        </w:rPr>
        <w:t>公司情况介绍：</w:t>
      </w:r>
    </w:p>
    <w:p w14:paraId="1550F1B8">
      <w:pPr>
        <w:numPr>
          <w:ilvl w:val="0"/>
          <w:numId w:val="0"/>
        </w:numPr>
        <w:spacing w:line="480" w:lineRule="auto"/>
        <w:ind w:firstLine="480" w:firstLineChars="200"/>
        <w:rPr>
          <w:rFonts w:hint="eastAsia" w:ascii="宋体" w:hAnsi="宋体" w:cs="仿宋_GB2312"/>
          <w:sz w:val="24"/>
          <w:szCs w:val="24"/>
        </w:rPr>
      </w:pPr>
      <w:r>
        <w:rPr>
          <w:rFonts w:hint="eastAsia" w:ascii="宋体" w:hAnsi="宋体" w:cs="仿宋_GB2312"/>
          <w:kern w:val="2"/>
          <w:sz w:val="24"/>
          <w:szCs w:val="24"/>
          <w:lang w:val="en-US" w:eastAsia="zh-CN" w:bidi="ar-SA"/>
        </w:rPr>
        <w:t>1、</w:t>
      </w:r>
      <w:r>
        <w:rPr>
          <w:rFonts w:hint="eastAsia" w:ascii="宋体" w:hAnsi="宋体" w:cs="仿宋_GB2312"/>
          <w:sz w:val="24"/>
          <w:szCs w:val="24"/>
        </w:rPr>
        <w:t>公司相关业务情况、业绩简介。</w:t>
      </w:r>
    </w:p>
    <w:p w14:paraId="017BA2A8">
      <w:pPr>
        <w:numPr>
          <w:ilvl w:val="0"/>
          <w:numId w:val="0"/>
        </w:numPr>
        <w:spacing w:line="480" w:lineRule="auto"/>
        <w:ind w:firstLine="480" w:firstLineChars="200"/>
        <w:rPr>
          <w:rFonts w:hAnsi="宋体" w:cs="仿宋_GB2312"/>
          <w:b/>
          <w:bCs/>
          <w:sz w:val="24"/>
          <w:szCs w:val="24"/>
        </w:rPr>
      </w:pPr>
      <w:r>
        <w:rPr>
          <w:rFonts w:hAnsi="宋体" w:cs="仿宋_GB2312"/>
          <w:b w:val="0"/>
          <w:bCs w:val="0"/>
          <w:kern w:val="2"/>
          <w:sz w:val="24"/>
          <w:szCs w:val="24"/>
          <w:lang w:val="en-US" w:eastAsia="zh-CN" w:bidi="ar-SA"/>
        </w:rPr>
        <w:t>2、</w:t>
      </w:r>
      <w:r>
        <w:rPr>
          <w:rFonts w:hint="eastAsia" w:ascii="宋体" w:hAnsi="宋体" w:cs="仿宋_GB2312"/>
          <w:sz w:val="24"/>
          <w:szCs w:val="24"/>
        </w:rPr>
        <w:t>公司营业执照复印件；</w:t>
      </w:r>
      <w:r>
        <w:rPr>
          <w:rFonts w:hint="eastAsia" w:hAnsi="宋体" w:cs="仿宋_GB2312"/>
          <w:sz w:val="24"/>
          <w:szCs w:val="24"/>
        </w:rPr>
        <w:t>公司法人身份证复印件，或授权委托书及授权委托人</w:t>
      </w:r>
      <w:r>
        <w:rPr>
          <w:rFonts w:hint="eastAsia" w:hAnsi="宋体" w:cs="仿宋_GB2312"/>
          <w:sz w:val="24"/>
          <w:szCs w:val="24"/>
          <w:lang w:val="en-US" w:eastAsia="zh-CN"/>
        </w:rPr>
        <w:t>身份证</w:t>
      </w:r>
      <w:r>
        <w:rPr>
          <w:rFonts w:hint="eastAsia" w:hAnsi="宋体" w:cs="仿宋_GB2312"/>
          <w:sz w:val="24"/>
          <w:szCs w:val="24"/>
        </w:rPr>
        <w:t>复印件。</w:t>
      </w:r>
    </w:p>
    <w:p w14:paraId="659AF6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仿宋_GB2312"/>
          <w:b/>
          <w:bCs/>
          <w:color w:val="auto"/>
          <w:sz w:val="24"/>
          <w:szCs w:val="24"/>
        </w:rPr>
      </w:pPr>
      <w:r>
        <w:rPr>
          <w:rFonts w:hint="eastAsia" w:ascii="宋体" w:hAnsi="宋体" w:cs="仿宋_GB2312"/>
          <w:b/>
          <w:bCs/>
          <w:color w:val="auto"/>
          <w:sz w:val="24"/>
          <w:szCs w:val="24"/>
        </w:rPr>
        <w:t>二、报名要求：</w:t>
      </w:r>
    </w:p>
    <w:p w14:paraId="30DC78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仿宋_GB2312"/>
          <w:color w:val="auto"/>
          <w:sz w:val="24"/>
          <w:szCs w:val="24"/>
        </w:rPr>
      </w:pPr>
      <w:r>
        <w:rPr>
          <w:rFonts w:hint="eastAsia" w:ascii="宋体" w:hAnsi="宋体" w:eastAsia="宋体" w:cs="仿宋_GB2312"/>
          <w:b w:val="0"/>
          <w:bCs w:val="0"/>
          <w:color w:val="auto"/>
          <w:sz w:val="24"/>
          <w:szCs w:val="24"/>
          <w:lang w:val="en-US" w:eastAsia="zh-CN"/>
        </w:rPr>
        <w:t>1、</w:t>
      </w:r>
      <w:r>
        <w:rPr>
          <w:rFonts w:hint="eastAsia" w:ascii="宋体" w:hAnsi="宋体" w:cs="仿宋_GB2312"/>
          <w:color w:val="auto"/>
          <w:sz w:val="24"/>
          <w:szCs w:val="24"/>
        </w:rPr>
        <w:t>资料必须密封，现场递交成都市新津区中医医院采购办</w:t>
      </w:r>
      <w:r>
        <w:rPr>
          <w:rFonts w:hint="eastAsia" w:ascii="宋体" w:hAnsi="宋体" w:cs="仿宋_GB2312"/>
          <w:color w:val="auto"/>
          <w:sz w:val="24"/>
          <w:szCs w:val="24"/>
          <w:lang w:eastAsia="zh-CN"/>
        </w:rPr>
        <w:t>（</w:t>
      </w:r>
      <w:r>
        <w:rPr>
          <w:rFonts w:hint="eastAsia" w:ascii="宋体" w:hAnsi="宋体" w:cs="仿宋_GB2312"/>
          <w:color w:val="auto"/>
          <w:sz w:val="24"/>
          <w:szCs w:val="24"/>
          <w:lang w:val="en-US" w:eastAsia="zh-CN"/>
        </w:rPr>
        <w:t>医院篮球场旁，两层板房第一间</w:t>
      </w:r>
      <w:r>
        <w:rPr>
          <w:rFonts w:hint="eastAsia" w:ascii="宋体" w:hAnsi="宋体" w:cs="仿宋_GB2312"/>
          <w:color w:val="auto"/>
          <w:sz w:val="24"/>
          <w:szCs w:val="24"/>
          <w:lang w:eastAsia="zh-CN"/>
        </w:rPr>
        <w:t>）</w:t>
      </w:r>
      <w:r>
        <w:rPr>
          <w:rFonts w:hint="eastAsia" w:ascii="宋体" w:hAnsi="宋体" w:cs="仿宋_GB2312"/>
          <w:color w:val="auto"/>
          <w:sz w:val="24"/>
          <w:szCs w:val="24"/>
        </w:rPr>
        <w:t>。</w:t>
      </w:r>
    </w:p>
    <w:p w14:paraId="3405BC61">
      <w:pPr>
        <w:spacing w:line="360" w:lineRule="auto"/>
        <w:ind w:firstLine="480" w:firstLineChars="200"/>
        <w:rPr>
          <w:rFonts w:hint="default" w:ascii="宋体" w:hAnsi="宋体" w:eastAsia="宋体" w:cs="仿宋_GB2312"/>
          <w:color w:val="auto"/>
          <w:sz w:val="24"/>
          <w:szCs w:val="24"/>
          <w:lang w:val="en-US" w:eastAsia="zh-CN"/>
        </w:rPr>
      </w:pPr>
      <w:r>
        <w:rPr>
          <w:rFonts w:hint="eastAsia" w:ascii="宋体" w:hAnsi="宋体" w:eastAsia="宋体" w:cs="仿宋_GB2312"/>
          <w:b w:val="0"/>
          <w:bCs w:val="0"/>
          <w:color w:val="auto"/>
          <w:sz w:val="24"/>
          <w:szCs w:val="24"/>
          <w:lang w:val="en-US" w:eastAsia="zh-CN"/>
        </w:rPr>
        <w:t>2、</w:t>
      </w:r>
      <w:r>
        <w:rPr>
          <w:rFonts w:hint="eastAsia" w:ascii="宋体" w:hAnsi="宋体" w:eastAsia="宋体" w:cs="仿宋_GB2312"/>
          <w:color w:val="auto"/>
          <w:sz w:val="24"/>
          <w:szCs w:val="24"/>
          <w:lang w:val="en-US" w:eastAsia="zh-CN"/>
        </w:rPr>
        <w:t>报价资料需按照医院提供的模板格式，不得自行格式报价。需报齐产品清单中所列全部产品单价及合计总价。部分产品报价或不按医院提供模板报价的视为无效报价。注：报价单需独立装订一份并密封。（附件2）</w:t>
      </w:r>
    </w:p>
    <w:p w14:paraId="19A61A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仿宋_GB2312"/>
          <w:color w:val="auto"/>
          <w:sz w:val="24"/>
          <w:szCs w:val="24"/>
          <w:lang w:val="en-US" w:eastAsia="zh-CN"/>
        </w:rPr>
      </w:pPr>
      <w:r>
        <w:rPr>
          <w:rFonts w:hint="eastAsia" w:ascii="宋体" w:hAnsi="宋体" w:eastAsia="宋体" w:cs="仿宋_GB2312"/>
          <w:color w:val="auto"/>
          <w:sz w:val="24"/>
          <w:szCs w:val="24"/>
          <w:lang w:val="en-US" w:eastAsia="zh-CN"/>
        </w:rPr>
        <w:t>3、提供电子版报价资料和产品技术参数资料以便医院甄选使用（U盘密封递交，使用可以复制粘贴的文档格式，不得使用PDF版本</w:t>
      </w:r>
      <w:r>
        <w:rPr>
          <w:rFonts w:hint="eastAsia" w:ascii="宋体" w:hAnsi="宋体" w:cs="仿宋_GB2312"/>
          <w:color w:val="auto"/>
          <w:sz w:val="24"/>
          <w:szCs w:val="24"/>
          <w:lang w:val="en-US" w:eastAsia="zh-CN"/>
        </w:rPr>
        <w:t>，本项目无需</w:t>
      </w:r>
      <w:r>
        <w:rPr>
          <w:rFonts w:hint="eastAsia" w:ascii="宋体" w:hAnsi="宋体" w:eastAsia="宋体" w:cs="仿宋_GB2312"/>
          <w:color w:val="auto"/>
          <w:sz w:val="24"/>
          <w:szCs w:val="24"/>
          <w:lang w:val="en-US" w:eastAsia="zh-CN"/>
        </w:rPr>
        <w:t>）</w:t>
      </w:r>
      <w:r>
        <w:rPr>
          <w:rFonts w:hint="eastAsia" w:ascii="宋体" w:hAnsi="宋体" w:cs="仿宋_GB2312"/>
          <w:color w:val="auto"/>
          <w:sz w:val="24"/>
          <w:szCs w:val="24"/>
          <w:lang w:val="en-US" w:eastAsia="zh-CN"/>
        </w:rPr>
        <w:t>。</w:t>
      </w:r>
    </w:p>
    <w:p w14:paraId="59F1B2B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仿宋_GB2312"/>
          <w:color w:val="0000FF"/>
          <w:sz w:val="24"/>
          <w:szCs w:val="24"/>
          <w:lang w:val="en-US" w:eastAsia="zh-CN"/>
        </w:rPr>
      </w:pPr>
      <w:r>
        <w:rPr>
          <w:rFonts w:hint="eastAsia" w:ascii="宋体" w:hAnsi="宋体" w:eastAsia="宋体" w:cs="仿宋_GB2312"/>
          <w:color w:val="auto"/>
          <w:sz w:val="24"/>
          <w:szCs w:val="24"/>
          <w:lang w:val="en-US" w:eastAsia="zh-CN"/>
        </w:rPr>
        <w:t>4、参与供应商应符合《政府采购法》第二十二条的相关资质要求，</w:t>
      </w:r>
      <w:r>
        <w:rPr>
          <w:rFonts w:hint="eastAsia" w:ascii="宋体" w:hAnsi="宋体" w:eastAsia="宋体" w:cs="仿宋_GB2312"/>
          <w:color w:val="0000FF"/>
          <w:sz w:val="24"/>
          <w:szCs w:val="24"/>
          <w:lang w:val="en-US" w:eastAsia="zh-CN"/>
        </w:rPr>
        <w:t xml:space="preserve">具备经营相关资质。并提供相关证明材料或承诺函。        </w:t>
      </w:r>
    </w:p>
    <w:p w14:paraId="4FEF02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仿宋_GB2312"/>
          <w:color w:val="auto"/>
          <w:sz w:val="24"/>
          <w:szCs w:val="24"/>
          <w:lang w:val="en-US" w:eastAsia="zh-CN"/>
        </w:rPr>
      </w:pPr>
      <w:r>
        <w:rPr>
          <w:rFonts w:hint="eastAsia" w:ascii="宋体" w:hAnsi="宋体" w:eastAsia="宋体" w:cs="仿宋_GB2312"/>
          <w:color w:val="auto"/>
          <w:sz w:val="24"/>
          <w:szCs w:val="24"/>
          <w:lang w:val="en-US" w:eastAsia="zh-CN"/>
        </w:rPr>
        <w:t>5、所有递交资料及相关证明材料必须加盖供应商鲜章有效。</w:t>
      </w:r>
    </w:p>
    <w:p w14:paraId="496E17ED">
      <w:pPr>
        <w:spacing w:line="560" w:lineRule="exact"/>
        <w:rPr>
          <w:rFonts w:hint="eastAsia" w:ascii="仿宋_GB2312" w:hAnsi="仿宋_GB2312" w:eastAsia="仿宋_GB2312" w:cs="仿宋_GB2312"/>
          <w:color w:val="auto"/>
          <w:sz w:val="32"/>
          <w:szCs w:val="32"/>
          <w:highlight w:val="none"/>
        </w:rPr>
      </w:pPr>
      <w:r>
        <w:rPr>
          <w:rFonts w:hint="eastAsia" w:ascii="宋体" w:hAnsi="宋体" w:eastAsia="宋体" w:cs="仿宋_GB2312"/>
          <w:b/>
          <w:bCs/>
          <w:color w:val="auto"/>
          <w:sz w:val="24"/>
          <w:szCs w:val="24"/>
          <w:lang w:val="en-US" w:eastAsia="zh-CN"/>
        </w:rPr>
        <w:t>三</w:t>
      </w:r>
      <w:r>
        <w:rPr>
          <w:rFonts w:hint="eastAsia" w:ascii="宋体" w:hAnsi="宋体" w:eastAsia="宋体" w:cs="仿宋_GB2312"/>
          <w:b/>
          <w:bCs/>
          <w:color w:val="auto"/>
          <w:sz w:val="24"/>
          <w:szCs w:val="24"/>
        </w:rPr>
        <w:t>、</w:t>
      </w:r>
      <w:r>
        <w:rPr>
          <w:rFonts w:hint="eastAsia" w:ascii="宋体" w:hAnsi="宋体" w:cs="仿宋_GB2312"/>
          <w:b/>
          <w:bCs/>
          <w:color w:val="auto"/>
          <w:sz w:val="24"/>
          <w:szCs w:val="24"/>
        </w:rPr>
        <w:t>本次公开询价结果只作为本项目采购预算价，不作为成交价。</w:t>
      </w:r>
    </w:p>
    <w:p w14:paraId="005C1A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仿宋_GB2312"/>
          <w:b/>
          <w:bCs/>
          <w:color w:val="auto"/>
          <w:sz w:val="24"/>
          <w:szCs w:val="24"/>
        </w:rPr>
      </w:pPr>
      <w:r>
        <w:rPr>
          <w:rFonts w:hint="eastAsia" w:ascii="宋体" w:hAnsi="宋体" w:cs="仿宋_GB2312"/>
          <w:b/>
          <w:bCs/>
          <w:color w:val="auto"/>
          <w:sz w:val="24"/>
          <w:szCs w:val="24"/>
        </w:rPr>
        <w:t>四、其他事项</w:t>
      </w:r>
    </w:p>
    <w:p w14:paraId="1E55BB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仿宋_GB2312"/>
          <w:color w:val="auto"/>
          <w:sz w:val="24"/>
          <w:szCs w:val="24"/>
          <w:lang w:val="en-US" w:eastAsia="zh-CN"/>
        </w:rPr>
      </w:pPr>
      <w:r>
        <w:rPr>
          <w:rFonts w:hint="eastAsia" w:ascii="宋体" w:hAnsi="宋体" w:eastAsia="宋体" w:cs="仿宋_GB2312"/>
          <w:color w:val="auto"/>
          <w:sz w:val="24"/>
          <w:szCs w:val="24"/>
          <w:lang w:val="en-US" w:eastAsia="zh-CN"/>
        </w:rPr>
        <w:t>1、报名资料接收时间：（2024年11月6日-2024年11月11日工作时间9:00-16:00；文件接收截止日期：2024年11月12日16：00）递交</w:t>
      </w:r>
      <w:r>
        <w:rPr>
          <w:rFonts w:hint="eastAsia" w:ascii="宋体" w:hAnsi="宋体" w:cs="仿宋_GB2312"/>
          <w:color w:val="auto"/>
          <w:sz w:val="24"/>
          <w:szCs w:val="24"/>
          <w:highlight w:val="none"/>
        </w:rPr>
        <w:t>资料人员须为法人</w:t>
      </w:r>
      <w:r>
        <w:rPr>
          <w:rFonts w:hint="eastAsia" w:ascii="宋体" w:hAnsi="宋体" w:cs="仿宋_GB2312"/>
          <w:color w:val="auto"/>
          <w:sz w:val="24"/>
          <w:szCs w:val="24"/>
        </w:rPr>
        <w:t>或授权委托人并提供证明文件查看。</w:t>
      </w:r>
      <w:r>
        <w:rPr>
          <w:rFonts w:hint="eastAsia" w:ascii="宋体" w:hAnsi="宋体" w:cs="仿宋_GB2312"/>
          <w:color w:val="auto"/>
          <w:sz w:val="24"/>
          <w:szCs w:val="24"/>
          <w:lang w:eastAsia="zh-CN"/>
        </w:rPr>
        <w:t>报名登记表见附件</w:t>
      </w:r>
      <w:r>
        <w:rPr>
          <w:rFonts w:hint="eastAsia" w:ascii="宋体" w:hAnsi="宋体" w:cs="仿宋_GB2312"/>
          <w:color w:val="auto"/>
          <w:sz w:val="24"/>
          <w:szCs w:val="24"/>
          <w:lang w:val="en-US" w:eastAsia="zh-CN"/>
        </w:rPr>
        <w:t>3。</w:t>
      </w:r>
    </w:p>
    <w:p w14:paraId="3F4AEE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仿宋_GB2312"/>
          <w:color w:val="auto"/>
          <w:sz w:val="24"/>
          <w:szCs w:val="24"/>
        </w:rPr>
      </w:pPr>
      <w:r>
        <w:rPr>
          <w:rFonts w:hint="eastAsia" w:ascii="宋体" w:hAnsi="宋体" w:cs="仿宋_GB2312"/>
          <w:color w:val="auto"/>
          <w:sz w:val="24"/>
          <w:szCs w:val="24"/>
          <w:lang w:val="en-US" w:eastAsia="zh-CN"/>
        </w:rPr>
        <w:t>2</w:t>
      </w:r>
      <w:r>
        <w:rPr>
          <w:rFonts w:hint="eastAsia" w:ascii="宋体" w:hAnsi="宋体" w:cs="仿宋_GB2312"/>
          <w:color w:val="auto"/>
          <w:sz w:val="24"/>
          <w:szCs w:val="24"/>
        </w:rPr>
        <w:t>、公示人：成都市新津区中医医院 地址：成都市新津区西创大道1389号</w:t>
      </w:r>
    </w:p>
    <w:p w14:paraId="7A967B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hAnsi="宋体" w:cs="仿宋_GB2312"/>
          <w:color w:val="auto"/>
          <w:sz w:val="24"/>
          <w:szCs w:val="24"/>
          <w:lang w:val="en-US" w:eastAsia="zh-CN"/>
        </w:rPr>
      </w:pPr>
      <w:r>
        <w:rPr>
          <w:rFonts w:hint="eastAsia" w:ascii="宋体" w:hAnsi="宋体" w:cs="仿宋_GB2312"/>
          <w:color w:val="auto"/>
          <w:sz w:val="24"/>
          <w:szCs w:val="24"/>
          <w:lang w:val="en-US" w:eastAsia="zh-CN"/>
        </w:rPr>
        <w:t>3</w:t>
      </w:r>
      <w:r>
        <w:rPr>
          <w:rFonts w:hint="eastAsia" w:ascii="宋体" w:hAnsi="宋体" w:cs="仿宋_GB2312"/>
          <w:color w:val="auto"/>
          <w:sz w:val="24"/>
          <w:szCs w:val="24"/>
        </w:rPr>
        <w:t>、报名联系人：</w:t>
      </w:r>
      <w:r>
        <w:rPr>
          <w:rFonts w:hint="eastAsia" w:ascii="宋体" w:hAnsi="宋体" w:cs="仿宋_GB2312"/>
          <w:color w:val="auto"/>
          <w:sz w:val="24"/>
          <w:szCs w:val="24"/>
          <w:lang w:eastAsia="zh-CN"/>
        </w:rPr>
        <w:t>潘</w:t>
      </w:r>
      <w:r>
        <w:rPr>
          <w:rFonts w:hint="eastAsia" w:ascii="宋体" w:hAnsi="宋体" w:cs="仿宋_GB2312"/>
          <w:color w:val="auto"/>
          <w:sz w:val="24"/>
          <w:szCs w:val="24"/>
        </w:rPr>
        <w:t>老师</w:t>
      </w:r>
      <w:r>
        <w:rPr>
          <w:rFonts w:hint="eastAsia" w:ascii="宋体" w:hAnsi="宋体" w:cs="仿宋_GB2312"/>
          <w:color w:val="auto"/>
          <w:sz w:val="24"/>
          <w:szCs w:val="24"/>
          <w:lang w:eastAsia="zh-CN"/>
        </w:rPr>
        <w:t>、王老师</w:t>
      </w:r>
      <w:r>
        <w:rPr>
          <w:rFonts w:hint="eastAsia" w:ascii="宋体" w:hAnsi="宋体" w:cs="仿宋_GB2312"/>
          <w:color w:val="auto"/>
          <w:sz w:val="24"/>
          <w:szCs w:val="24"/>
        </w:rPr>
        <w:t xml:space="preserve">028-82526150  </w:t>
      </w:r>
      <w:r>
        <w:rPr>
          <w:rFonts w:hint="eastAsia" w:hAnsi="宋体" w:cs="仿宋_GB2312"/>
          <w:color w:val="auto"/>
          <w:sz w:val="24"/>
          <w:szCs w:val="24"/>
        </w:rPr>
        <w:t>项目咨询联系人：</w:t>
      </w:r>
      <w:r>
        <w:rPr>
          <w:rFonts w:hint="eastAsia" w:hAnsi="宋体" w:cs="仿宋_GB2312"/>
          <w:color w:val="auto"/>
          <w:sz w:val="24"/>
          <w:szCs w:val="24"/>
          <w:lang w:eastAsia="zh-CN"/>
        </w:rPr>
        <w:t>周</w:t>
      </w:r>
      <w:r>
        <w:rPr>
          <w:rFonts w:hint="eastAsia" w:hAnsi="宋体" w:cs="仿宋_GB2312"/>
          <w:color w:val="auto"/>
          <w:sz w:val="24"/>
          <w:szCs w:val="24"/>
        </w:rPr>
        <w:t>老师，</w:t>
      </w:r>
      <w:r>
        <w:rPr>
          <w:rFonts w:hint="eastAsia" w:hAnsi="宋体" w:cs="仿宋_GB2312"/>
          <w:color w:val="auto"/>
          <w:sz w:val="24"/>
          <w:szCs w:val="24"/>
          <w:lang w:val="en-US" w:eastAsia="zh-CN"/>
        </w:rPr>
        <w:t>18215605686.</w:t>
      </w:r>
    </w:p>
    <w:p w14:paraId="4CE9E415">
      <w:pPr>
        <w:pStyle w:val="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仿宋_GB2312"/>
          <w:color w:val="auto"/>
          <w:kern w:val="2"/>
          <w:sz w:val="24"/>
          <w:szCs w:val="24"/>
          <w:lang w:val="en-US" w:eastAsia="zh-CN" w:bidi="ar-SA"/>
        </w:rPr>
      </w:pPr>
      <w:r>
        <w:rPr>
          <w:rFonts w:hint="eastAsia" w:ascii="宋体" w:hAnsi="宋体" w:eastAsia="宋体" w:cs="仿宋_GB2312"/>
          <w:color w:val="auto"/>
          <w:kern w:val="2"/>
          <w:sz w:val="24"/>
          <w:szCs w:val="24"/>
          <w:lang w:val="en-US" w:eastAsia="zh-CN" w:bidi="ar-SA"/>
        </w:rPr>
        <w:t>4、报名供应商可通过邮箱</w:t>
      </w:r>
      <w:r>
        <w:rPr>
          <w:rFonts w:hint="eastAsia" w:ascii="宋体" w:hAnsi="宋体" w:eastAsia="宋体" w:cs="宋体"/>
          <w:color w:val="auto"/>
          <w:sz w:val="24"/>
          <w:highlight w:val="none"/>
          <w:lang w:val="en-US" w:eastAsia="zh-CN"/>
        </w:rPr>
        <w:t>616378970</w:t>
      </w:r>
      <w:r>
        <w:rPr>
          <w:rFonts w:hint="eastAsia" w:ascii="宋体" w:hAnsi="宋体" w:eastAsia="宋体" w:cs="仿宋_GB2312"/>
          <w:color w:val="auto"/>
          <w:kern w:val="2"/>
          <w:sz w:val="24"/>
          <w:szCs w:val="24"/>
          <w:lang w:val="en-US" w:eastAsia="zh-CN" w:bidi="ar-SA"/>
        </w:rPr>
        <w:t>@qq.com报名。报名需提交报名登记表及登记表要求的相关资质资料（盖公章）。</w:t>
      </w:r>
    </w:p>
    <w:p w14:paraId="672E0009">
      <w:pPr>
        <w:pStyle w:val="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仿宋_GB2312"/>
          <w:color w:val="auto"/>
          <w:kern w:val="2"/>
          <w:sz w:val="24"/>
          <w:szCs w:val="24"/>
          <w:lang w:val="en-US" w:eastAsia="zh-CN" w:bidi="ar-SA"/>
        </w:rPr>
      </w:pPr>
    </w:p>
    <w:p w14:paraId="0810B193">
      <w:pPr>
        <w:pStyle w:val="2"/>
        <w:spacing w:after="0"/>
        <w:jc w:val="both"/>
        <w:rPr>
          <w:rFonts w:hint="eastAsia" w:ascii="黑体" w:hAnsi="黑体" w:eastAsia="黑体" w:cs="黑体"/>
          <w:color w:val="auto"/>
          <w:sz w:val="32"/>
          <w:szCs w:val="32"/>
          <w:lang w:eastAsia="zh-CN"/>
        </w:rPr>
      </w:pPr>
      <w:bookmarkStart w:id="1" w:name="_Toc20249"/>
      <w:bookmarkStart w:id="2" w:name="_Toc20665"/>
      <w:r>
        <w:rPr>
          <w:rFonts w:hint="eastAsia" w:ascii="黑体" w:hAnsi="黑体" w:eastAsia="黑体" w:cs="黑体"/>
          <w:color w:val="auto"/>
          <w:sz w:val="32"/>
          <w:szCs w:val="32"/>
          <w:lang w:eastAsia="zh-CN"/>
        </w:rPr>
        <w:t>附件1：采购需求</w:t>
      </w:r>
    </w:p>
    <w:p w14:paraId="27D12A2B">
      <w:pPr>
        <w:numPr>
          <w:ilvl w:val="0"/>
          <w:numId w:val="0"/>
        </w:numPr>
        <w:spacing w:line="440" w:lineRule="exact"/>
        <w:jc w:val="both"/>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eastAsia="zh-CN"/>
        </w:rPr>
        <w:t>一、采购清单：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960"/>
        <w:gridCol w:w="895"/>
        <w:gridCol w:w="5924"/>
      </w:tblGrid>
      <w:tr w14:paraId="62CA8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43" w:type="dxa"/>
            <w:shd w:val="clear" w:color="auto" w:fill="E7E6E6" w:themeFill="background2"/>
            <w:vAlign w:val="center"/>
          </w:tcPr>
          <w:p w14:paraId="2C4F8A75">
            <w:pPr>
              <w:bidi w:val="0"/>
              <w:rPr>
                <w:rFonts w:hint="default"/>
                <w:lang w:val="en-US" w:eastAsia="zh-CN"/>
              </w:rPr>
            </w:pPr>
            <w:r>
              <w:rPr>
                <w:rFonts w:hint="eastAsia"/>
                <w:lang w:val="en-US" w:eastAsia="zh-CN"/>
              </w:rPr>
              <w:t>序号</w:t>
            </w:r>
          </w:p>
        </w:tc>
        <w:tc>
          <w:tcPr>
            <w:tcW w:w="960" w:type="dxa"/>
            <w:shd w:val="clear" w:color="auto" w:fill="E7E6E6" w:themeFill="background2"/>
            <w:vAlign w:val="center"/>
          </w:tcPr>
          <w:p w14:paraId="3D3CA5B9">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主模块</w:t>
            </w:r>
          </w:p>
        </w:tc>
        <w:tc>
          <w:tcPr>
            <w:tcW w:w="895" w:type="dxa"/>
            <w:shd w:val="clear" w:color="auto" w:fill="E7E6E6" w:themeFill="background2"/>
            <w:vAlign w:val="center"/>
          </w:tcPr>
          <w:p w14:paraId="284F991A">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子模块</w:t>
            </w:r>
          </w:p>
        </w:tc>
        <w:tc>
          <w:tcPr>
            <w:tcW w:w="5924" w:type="dxa"/>
            <w:shd w:val="clear" w:color="auto" w:fill="E7E6E6" w:themeFill="background2"/>
            <w:vAlign w:val="center"/>
          </w:tcPr>
          <w:p w14:paraId="510D0D4F">
            <w:pPr>
              <w:widowControl/>
              <w:spacing w:line="240" w:lineRule="auto"/>
              <w:ind w:leftChars="-10" w:hanging="21" w:hangingChars="10"/>
              <w:jc w:val="center"/>
              <w:rPr>
                <w:rFonts w:hint="default" w:ascii="仿宋" w:hAnsi="仿宋" w:eastAsia="仿宋" w:cs="宋体"/>
                <w:b/>
                <w:bCs/>
                <w:color w:val="000000" w:themeColor="text1"/>
                <w:kern w:val="0"/>
                <w:szCs w:val="21"/>
                <w:lang w:val="en-US" w:eastAsia="zh-CN"/>
                <w14:textFill>
                  <w14:solidFill>
                    <w14:schemeClr w14:val="tx1"/>
                  </w14:solidFill>
                </w14:textFill>
              </w:rPr>
            </w:pPr>
            <w:r>
              <w:rPr>
                <w:rFonts w:hint="eastAsia" w:ascii="仿宋" w:hAnsi="仿宋" w:eastAsia="仿宋" w:cs="宋体"/>
                <w:b/>
                <w:bCs/>
                <w:color w:val="000000" w:themeColor="text1"/>
                <w:kern w:val="0"/>
                <w:szCs w:val="21"/>
                <w:lang w:val="zh-CN" w:eastAsia="zh-CN"/>
                <w14:textFill>
                  <w14:solidFill>
                    <w14:schemeClr w14:val="tx1"/>
                  </w14:solidFill>
                </w14:textFill>
              </w:rPr>
              <w:t>功能</w:t>
            </w:r>
            <w:r>
              <w:rPr>
                <w:rFonts w:hint="eastAsia" w:ascii="仿宋" w:hAnsi="仿宋" w:eastAsia="仿宋" w:cs="宋体"/>
                <w:b/>
                <w:bCs/>
                <w:color w:val="000000" w:themeColor="text1"/>
                <w:kern w:val="0"/>
                <w:szCs w:val="21"/>
                <w:lang w:val="en-US" w:eastAsia="zh-CN"/>
                <w14:textFill>
                  <w14:solidFill>
                    <w14:schemeClr w14:val="tx1"/>
                  </w14:solidFill>
                </w14:textFill>
              </w:rPr>
              <w:t>说明</w:t>
            </w:r>
          </w:p>
        </w:tc>
      </w:tr>
      <w:tr w14:paraId="3F581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43" w:type="dxa"/>
            <w:vMerge w:val="restart"/>
            <w:shd w:val="clear" w:color="auto" w:fill="auto"/>
            <w:vAlign w:val="center"/>
          </w:tcPr>
          <w:p w14:paraId="6D665DE2">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1</w:t>
            </w:r>
          </w:p>
        </w:tc>
        <w:tc>
          <w:tcPr>
            <w:tcW w:w="960" w:type="dxa"/>
            <w:vMerge w:val="restart"/>
            <w:shd w:val="clear" w:color="auto" w:fill="auto"/>
            <w:vAlign w:val="center"/>
          </w:tcPr>
          <w:p w14:paraId="0B519866">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系</w:t>
            </w:r>
          </w:p>
          <w:p w14:paraId="7FD597CA">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统</w:t>
            </w:r>
          </w:p>
          <w:p w14:paraId="13A60677">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集</w:t>
            </w:r>
          </w:p>
          <w:p w14:paraId="17A6F6C4">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成</w:t>
            </w:r>
          </w:p>
        </w:tc>
        <w:tc>
          <w:tcPr>
            <w:tcW w:w="895" w:type="dxa"/>
            <w:shd w:val="clear" w:color="auto" w:fill="auto"/>
            <w:vAlign w:val="center"/>
          </w:tcPr>
          <w:p w14:paraId="44731C3D">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基</w:t>
            </w:r>
          </w:p>
          <w:p w14:paraId="3DE71D75">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础</w:t>
            </w:r>
          </w:p>
          <w:p w14:paraId="4A1B6D09">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信</w:t>
            </w:r>
          </w:p>
          <w:p w14:paraId="0E15BF01">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息</w:t>
            </w:r>
          </w:p>
          <w:p w14:paraId="612A6E7B">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集</w:t>
            </w:r>
          </w:p>
          <w:p w14:paraId="656D4169">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成</w:t>
            </w:r>
          </w:p>
        </w:tc>
        <w:tc>
          <w:tcPr>
            <w:tcW w:w="5924" w:type="dxa"/>
            <w:shd w:val="clear" w:color="auto" w:fill="auto"/>
            <w:vAlign w:val="center"/>
          </w:tcPr>
          <w:p w14:paraId="67885B51">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支持将所有基础信息整合在急诊急救平台中使整个诊疗过程在一个系统中完成。</w:t>
            </w:r>
          </w:p>
          <w:p w14:paraId="078F2568">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支持获取HIS系统的急诊挂号信息</w:t>
            </w:r>
          </w:p>
          <w:p w14:paraId="6FA5498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支持挂号信息提交HIS系统并生成挂号单号</w:t>
            </w:r>
          </w:p>
          <w:p w14:paraId="653F77D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支持获取HIS系统收费项目明细。</w:t>
            </w:r>
          </w:p>
          <w:p w14:paraId="103E9B23">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支持获取药品、材料、诊疗，检验检查等项目的详细信息，例如规格型号库存价格等等。</w:t>
            </w:r>
          </w:p>
          <w:p w14:paraId="0F5B4C39">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支持药物、材料、诊疗、检验检查等项目的开立并提交HIS系统。</w:t>
            </w:r>
          </w:p>
          <w:p w14:paraId="4BBE532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支持获取检验检擦结果。</w:t>
            </w:r>
          </w:p>
          <w:p w14:paraId="4CACF7C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支持链接查看检验检查报告、支持调阅影像检查图像。</w:t>
            </w:r>
          </w:p>
          <w:p w14:paraId="7415038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支持链接查看电子病历。</w:t>
            </w:r>
          </w:p>
          <w:p w14:paraId="426CF398">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支持链接查看心电图检查结果。</w:t>
            </w:r>
          </w:p>
        </w:tc>
      </w:tr>
      <w:tr w14:paraId="5661C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43" w:type="dxa"/>
            <w:vMerge w:val="continue"/>
            <w:shd w:val="clear" w:color="auto" w:fill="auto"/>
            <w:vAlign w:val="center"/>
          </w:tcPr>
          <w:p w14:paraId="25B6510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p>
        </w:tc>
        <w:tc>
          <w:tcPr>
            <w:tcW w:w="960" w:type="dxa"/>
            <w:vMerge w:val="continue"/>
            <w:shd w:val="clear" w:color="auto" w:fill="auto"/>
            <w:vAlign w:val="center"/>
          </w:tcPr>
          <w:p w14:paraId="241C6A1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p>
        </w:tc>
        <w:tc>
          <w:tcPr>
            <w:tcW w:w="895" w:type="dxa"/>
            <w:shd w:val="clear" w:color="auto" w:fill="auto"/>
            <w:vAlign w:val="center"/>
          </w:tcPr>
          <w:p w14:paraId="5029B755">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120</w:t>
            </w:r>
          </w:p>
          <w:p w14:paraId="13A93B3C">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数</w:t>
            </w:r>
          </w:p>
          <w:p w14:paraId="7EE254B6">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据</w:t>
            </w:r>
          </w:p>
          <w:p w14:paraId="4C694BE9">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集</w:t>
            </w:r>
          </w:p>
          <w:p w14:paraId="01FA5F31">
            <w:pPr>
              <w:widowControl/>
              <w:spacing w:line="240" w:lineRule="auto"/>
              <w:ind w:leftChars="-10" w:hanging="21" w:hangingChars="10"/>
              <w:jc w:val="center"/>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成</w:t>
            </w:r>
          </w:p>
        </w:tc>
        <w:tc>
          <w:tcPr>
            <w:tcW w:w="5924" w:type="dxa"/>
            <w:shd w:val="clear" w:color="auto" w:fill="auto"/>
            <w:vAlign w:val="center"/>
          </w:tcPr>
          <w:p w14:paraId="40FC1A7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支持将所有120以及院前信息整合在急诊急救平台中展示</w:t>
            </w:r>
          </w:p>
          <w:p w14:paraId="3C45C31E">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支持获取120派单任务信息。</w:t>
            </w:r>
          </w:p>
          <w:p w14:paraId="4C312251">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支持获取救护车出车基本信息例如出车医生、护士、目的地、实时地理位置信息等等。</w:t>
            </w:r>
          </w:p>
          <w:p w14:paraId="3F6A2A9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支持获取院前病历信息。</w:t>
            </w:r>
          </w:p>
          <w:p w14:paraId="27D8468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支持获院前取体格检测信息。</w:t>
            </w:r>
          </w:p>
          <w:p w14:paraId="0ED7155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支持获取院前辅助检查信息。</w:t>
            </w:r>
          </w:p>
          <w:p w14:paraId="50D97B1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支持获取院前诊断信息。</w:t>
            </w:r>
          </w:p>
          <w:p w14:paraId="055F228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支持获取院前心肺复苏记录。</w:t>
            </w:r>
          </w:p>
          <w:p w14:paraId="6A99572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支持获取院前救治措施。</w:t>
            </w:r>
          </w:p>
          <w:p w14:paraId="1942352E">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支持接入院前救护车内监护仪、心电图、视频图像、检验检查等信息。</w:t>
            </w:r>
          </w:p>
        </w:tc>
      </w:tr>
      <w:tr w14:paraId="7523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43" w:type="dxa"/>
            <w:shd w:val="clear" w:color="auto" w:fill="auto"/>
            <w:vAlign w:val="center"/>
          </w:tcPr>
          <w:p w14:paraId="124C1FC5">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2</w:t>
            </w:r>
          </w:p>
        </w:tc>
        <w:tc>
          <w:tcPr>
            <w:tcW w:w="960" w:type="dxa"/>
            <w:shd w:val="clear" w:color="auto" w:fill="auto"/>
            <w:vAlign w:val="center"/>
          </w:tcPr>
          <w:p w14:paraId="3C86B5B4">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2CBA2281">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7B719FC7">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63B8F1D7">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104ADA26">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45A46782">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1F4E855C">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1DA325E4">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4C615163">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移</w:t>
            </w:r>
          </w:p>
          <w:p w14:paraId="23AEDD09">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动</w:t>
            </w:r>
          </w:p>
          <w:p w14:paraId="034285B0">
            <w:pPr>
              <w:widowControl/>
              <w:spacing w:line="240" w:lineRule="auto"/>
              <w:ind w:leftChars="-10" w:hanging="21" w:hangingChars="10"/>
              <w:jc w:val="distribute"/>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终</w:t>
            </w:r>
          </w:p>
          <w:p w14:paraId="172FA396">
            <w:pPr>
              <w:widowControl/>
              <w:spacing w:line="240" w:lineRule="auto"/>
              <w:ind w:leftChars="-10" w:hanging="21" w:hangingChars="10"/>
              <w:jc w:val="distribute"/>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端</w:t>
            </w:r>
          </w:p>
        </w:tc>
        <w:tc>
          <w:tcPr>
            <w:tcW w:w="895" w:type="dxa"/>
            <w:shd w:val="clear" w:color="auto" w:fill="auto"/>
            <w:vAlign w:val="center"/>
          </w:tcPr>
          <w:p w14:paraId="047B979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院</w:t>
            </w:r>
          </w:p>
          <w:p w14:paraId="04827AB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前</w:t>
            </w:r>
          </w:p>
          <w:p w14:paraId="075A79B9">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移</w:t>
            </w:r>
          </w:p>
          <w:p w14:paraId="5CA7FF06">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动</w:t>
            </w:r>
          </w:p>
          <w:p w14:paraId="0EC52EEA">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终</w:t>
            </w:r>
          </w:p>
          <w:p w14:paraId="0E5CEE49">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端</w:t>
            </w:r>
          </w:p>
        </w:tc>
        <w:tc>
          <w:tcPr>
            <w:tcW w:w="5924" w:type="dxa"/>
            <w:shd w:val="clear" w:color="auto" w:fill="auto"/>
            <w:vAlign w:val="center"/>
          </w:tcPr>
          <w:p w14:paraId="01B9AC1F">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支持同步120以及院前急救系统中的患者信息。</w:t>
            </w:r>
          </w:p>
          <w:p w14:paraId="7FB04767">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支持对患者基本信息姓名、性别、年龄、职业、民族、联系方式等等基本信息手工录入。</w:t>
            </w:r>
          </w:p>
          <w:p w14:paraId="64568164">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支持对患者进行ORC拍照身份信息识别。</w:t>
            </w:r>
          </w:p>
          <w:p w14:paraId="036BF38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支持在院外对患者进行提前挂号并提前预检分诊。</w:t>
            </w:r>
          </w:p>
          <w:p w14:paraId="16C1C11B">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w:t>
            </w:r>
            <w:r>
              <w:rPr>
                <w:rFonts w:hint="eastAsia" w:ascii="仿宋" w:hAnsi="仿宋" w:eastAsia="仿宋" w:cs="宋体"/>
                <w:color w:val="000000" w:themeColor="text1"/>
                <w:kern w:val="0"/>
                <w:sz w:val="21"/>
                <w:szCs w:val="21"/>
                <w:lang w:val="zh-CN" w:eastAsia="zh-CN" w:bidi="ar-SA"/>
                <w14:textFill>
                  <w14:solidFill>
                    <w14:schemeClr w14:val="tx1"/>
                  </w14:solidFill>
                </w14:textFill>
              </w:rPr>
              <w:t>三区四级分诊</w:t>
            </w:r>
            <w:r>
              <w:rPr>
                <w:rFonts w:hint="eastAsia" w:ascii="仿宋" w:hAnsi="仿宋" w:eastAsia="仿宋" w:cs="宋体"/>
                <w:color w:val="000000" w:themeColor="text1"/>
                <w:kern w:val="0"/>
                <w:sz w:val="21"/>
                <w:szCs w:val="21"/>
                <w:lang w:val="en-US" w:eastAsia="zh-CN" w:bidi="ar-SA"/>
                <w14:textFill>
                  <w14:solidFill>
                    <w14:schemeClr w14:val="tx1"/>
                  </w14:solidFill>
                </w14:textFill>
              </w:rPr>
              <w:t>分级并</w:t>
            </w:r>
            <w:r>
              <w:rPr>
                <w:rFonts w:hint="eastAsia" w:ascii="仿宋" w:hAnsi="仿宋" w:eastAsia="仿宋" w:cs="宋体"/>
                <w:color w:val="000000" w:themeColor="text1"/>
                <w:kern w:val="0"/>
                <w:sz w:val="21"/>
                <w:szCs w:val="21"/>
                <w:lang w:val="zh-CN" w:eastAsia="zh-CN" w:bidi="ar-SA"/>
                <w14:textFill>
                  <w14:solidFill>
                    <w14:schemeClr w14:val="tx1"/>
                  </w14:solidFill>
                </w14:textFill>
              </w:rPr>
              <w:t>遵循卫生部《急诊病人病情分级试点指导原则（2011 征求意见稿）》。</w:t>
            </w:r>
          </w:p>
          <w:p w14:paraId="7EE24C54">
            <w:pPr>
              <w:widowControl/>
              <w:spacing w:line="240" w:lineRule="auto"/>
              <w:ind w:leftChars="-10" w:hanging="21" w:hangingChars="10"/>
              <w:jc w:val="left"/>
              <w:rPr>
                <w:rFonts w:hint="eastAsia" w:ascii="仿宋" w:hAnsi="仿宋" w:eastAsia="仿宋" w:cs="宋体"/>
                <w:color w:val="000000" w:themeColor="text1"/>
                <w:kern w:val="0"/>
                <w:sz w:val="21"/>
                <w:szCs w:val="21"/>
                <w:lang w:val="zh-CN"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支持手工录入或者自动获取生命体征（需监护仪拥有可接入的软硬件接口）并根据</w:t>
            </w:r>
            <w:r>
              <w:rPr>
                <w:rFonts w:hint="eastAsia" w:ascii="仿宋" w:hAnsi="仿宋" w:eastAsia="仿宋" w:cs="宋体"/>
                <w:color w:val="000000" w:themeColor="text1"/>
                <w:kern w:val="0"/>
                <w:sz w:val="21"/>
                <w:szCs w:val="21"/>
                <w:lang w:val="zh-CN" w:eastAsia="zh-CN" w:bidi="ar-SA"/>
                <w14:textFill>
                  <w14:solidFill>
                    <w14:schemeClr w14:val="tx1"/>
                  </w14:solidFill>
                </w14:textFill>
              </w:rPr>
              <w:t>《急诊预检分诊专家共识》（2018年）通过生命体征实现自动分级。</w:t>
            </w:r>
          </w:p>
          <w:p w14:paraId="67DF255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支持评分量表填写并根据评分量表进行分级。</w:t>
            </w:r>
          </w:p>
          <w:p w14:paraId="2B2ECDB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支持的常用评分量表包括格拉斯哥昏迷量表(GCS)、创伤评估院前指数(PHI)、CPOT疼痛评分(CPOT)、早期预警NEWS评分(NEWS)等。其中PHI和NEWS可自动获取生命体征模块中的生命体征数据进行填充。</w:t>
            </w:r>
          </w:p>
          <w:p w14:paraId="2ACC3442">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支持重点病重选择。</w:t>
            </w:r>
          </w:p>
          <w:p w14:paraId="2286C194">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支持手工修正分诊等级。</w:t>
            </w:r>
          </w:p>
          <w:p w14:paraId="435B6A63">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支持主诉、持续时间、既往史、过敏史等等信息的手工录入或者语音录入。</w:t>
            </w:r>
          </w:p>
          <w:p w14:paraId="2A6DCC6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支持ICD诊断关联。</w:t>
            </w:r>
          </w:p>
          <w:p w14:paraId="24E9F8A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支持医嘱开立，支持组合医嘱开立。</w:t>
            </w:r>
          </w:p>
          <w:p w14:paraId="699DC7F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支持院前常用医嘱模板选择。</w:t>
            </w:r>
          </w:p>
          <w:p w14:paraId="5AEC6A19">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支持患者基本信息、分级信息、医嘱信息自动上传急诊平台。</w:t>
            </w:r>
          </w:p>
          <w:p w14:paraId="6B9B292C">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支持院前胸痛、创伤等信息填写。</w:t>
            </w:r>
          </w:p>
        </w:tc>
      </w:tr>
      <w:tr w14:paraId="2C3B8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1568883B">
            <w:pPr>
              <w:pStyle w:val="4"/>
              <w:jc w:val="center"/>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cs="宋体"/>
                <w:b w:val="0"/>
                <w:bCs w:val="0"/>
                <w:color w:val="000000" w:themeColor="text1"/>
                <w:kern w:val="0"/>
                <w:sz w:val="21"/>
                <w:szCs w:val="21"/>
                <w:lang w:val="en-US" w:eastAsia="zh-CN" w:bidi="ar-SA"/>
                <w14:textFill>
                  <w14:solidFill>
                    <w14:schemeClr w14:val="tx1"/>
                  </w14:solidFill>
                </w14:textFill>
              </w:rPr>
              <w:t>3</w:t>
            </w:r>
          </w:p>
        </w:tc>
        <w:tc>
          <w:tcPr>
            <w:tcW w:w="960" w:type="dxa"/>
            <w:vAlign w:val="center"/>
          </w:tcPr>
          <w:p w14:paraId="1E79E922">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院</w:t>
            </w:r>
          </w:p>
          <w:p w14:paraId="04F6905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内</w:t>
            </w:r>
          </w:p>
          <w:p w14:paraId="4C1526A7">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急</w:t>
            </w:r>
          </w:p>
          <w:p w14:paraId="5285FE8A">
            <w:pPr>
              <w:widowControl/>
              <w:spacing w:line="240" w:lineRule="auto"/>
              <w:ind w:leftChars="-10" w:hanging="21" w:hangingChars="10"/>
              <w:jc w:val="center"/>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诊</w:t>
            </w:r>
          </w:p>
        </w:tc>
        <w:tc>
          <w:tcPr>
            <w:tcW w:w="895" w:type="dxa"/>
            <w:vAlign w:val="center"/>
          </w:tcPr>
          <w:p w14:paraId="0B77512B">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02DADDD8">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7185533E">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2C9ECFD6">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378C8432">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51378AA5">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70BABC68">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预</w:t>
            </w:r>
          </w:p>
          <w:p w14:paraId="4FE81C7E">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检</w:t>
            </w:r>
          </w:p>
          <w:p w14:paraId="5D09D2CA">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分</w:t>
            </w:r>
          </w:p>
          <w:p w14:paraId="175AC3D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诊</w:t>
            </w:r>
          </w:p>
          <w:p w14:paraId="56EFF8DE">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工</w:t>
            </w:r>
          </w:p>
          <w:p w14:paraId="247A1CFE">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作</w:t>
            </w:r>
          </w:p>
          <w:p w14:paraId="33191687">
            <w:pPr>
              <w:widowControl/>
              <w:spacing w:line="240" w:lineRule="auto"/>
              <w:ind w:leftChars="-10" w:hanging="21" w:hangingChars="10"/>
              <w:jc w:val="center"/>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站</w:t>
            </w:r>
          </w:p>
        </w:tc>
        <w:tc>
          <w:tcPr>
            <w:tcW w:w="5924" w:type="dxa"/>
          </w:tcPr>
          <w:p w14:paraId="7BB7631B">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自动获取HIS中的急诊患者挂号信息，并通过列表显示。</w:t>
            </w:r>
          </w:p>
          <w:p w14:paraId="3632CDF5">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支持自动获取院前移动终端患者信息。</w:t>
            </w:r>
          </w:p>
          <w:p w14:paraId="66E8562B">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预检分诊患者列表显示，列表内容包括序号、挂号单号、</w:t>
            </w:r>
          </w:p>
          <w:p w14:paraId="2CEBC535">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就诊卡号、挂号时间、姓名、分级、性别、年龄、主诉、证件号码、体温、联系方式、就诊状态、分诊去向、挂号状态。</w:t>
            </w:r>
          </w:p>
          <w:p w14:paraId="799F40B9">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红黄绿三区患者姓名按照红黄绿不同颜色框线显示，未分诊患者则不显示框线。</w:t>
            </w:r>
          </w:p>
          <w:p w14:paraId="49362241">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按照挂号时间检索支持关键词检索例如姓名、诊室、挂号单号、就诊卡号。</w:t>
            </w:r>
          </w:p>
          <w:p w14:paraId="542C7256">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全部、Ⅰ、Ⅱ、Ⅲ、Ⅳ、发热快捷方式查询，当选中任一按钮时则按选中按钮过滤患者信息，例如点击Ⅰ则列出所有分诊为Ⅰ级的患者。</w:t>
            </w:r>
          </w:p>
          <w:p w14:paraId="37AABEBE">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预检分诊同时挂号，在HIS系统接口支持的情况下可在预检分诊的同时提交给HIS挂号信息并挂号。</w:t>
            </w:r>
          </w:p>
          <w:p w14:paraId="26D17D00">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基本信息、重点病重、生命体征、分诊印象、评分量表、分诊处置六大功能区域模块化呈现。</w:t>
            </w:r>
          </w:p>
          <w:p w14:paraId="030ED77F">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支持三无人员以及重点病重患者特殊人群绿色通道登记并预检分诊。</w:t>
            </w:r>
          </w:p>
          <w:p w14:paraId="27F68F05">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支持群伤</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患者</w:t>
            </w: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登记。</w:t>
            </w:r>
          </w:p>
          <w:p w14:paraId="2D843D58">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读取患者</w:t>
            </w: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身份证、医保卡、就诊卡快速获取患者身份信息。</w:t>
            </w:r>
          </w:p>
          <w:p w14:paraId="775E0A91">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基本信息模块中明确标识必填项目例如绿通通道、姓名，年龄、性别等等。</w:t>
            </w:r>
          </w:p>
          <w:p w14:paraId="51320F38">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基本信息模块中患者家庭住址，户籍地址填写。</w:t>
            </w:r>
          </w:p>
          <w:p w14:paraId="20518483">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基本信息模块中患者来源填写，可选择自行来源、120、他院救护车转入。</w:t>
            </w:r>
          </w:p>
          <w:p w14:paraId="34F8E7AC">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基本信息模块中患者就诊类型选择，包括初诊，复诊。</w:t>
            </w:r>
          </w:p>
          <w:p w14:paraId="6CF7100D">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重点病重选择，重点病种包括急性心肌梗死、急性卒中、急性呼吸衰竭，急性心衰竭、急性创伤、急性上消化道出血等等并可通过系统配置添加。</w:t>
            </w:r>
          </w:p>
          <w:p w14:paraId="377FC3A3">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支持通过身高体重自动计算患者BMI的值</w:t>
            </w:r>
          </w:p>
          <w:p w14:paraId="6B5DA2DB">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支持血压自动分级。</w:t>
            </w:r>
          </w:p>
          <w:p w14:paraId="203E1523">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支持手工录入或从监护仪提取生命体征数据（需监护仪拥有可接入的软硬件接口）并根据</w:t>
            </w: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《急诊预检分诊专家共识》</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2018版</w:t>
            </w: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通过生命体征自动判定分级。</w:t>
            </w:r>
          </w:p>
          <w:p w14:paraId="5BB5454B">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分诊印象中快速录入</w:t>
            </w: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主诉、现病史、既往史、过敏史、流行病学史登记。</w:t>
            </w:r>
          </w:p>
          <w:p w14:paraId="7F262629">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常用评分量表，并通过评分来自动分级。常用评分包括格拉斯哥昏迷量表(GCS)、创伤评估院前指数(PHI)、CPOT疼痛评分(CPOT)、早期预警NEWS评分(NEWS)等。其中PHI和NEWS可自动获取生命体征模块中的生命体征数据进行填充。</w:t>
            </w:r>
          </w:p>
          <w:p w14:paraId="285FBD95">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支持医护人员手动修正分诊分区级别。</w:t>
            </w:r>
          </w:p>
          <w:p w14:paraId="72F7C4F4">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zh-CN" w:eastAsia="zh-CN" w:bidi="ar-SA"/>
                <w14:textFill>
                  <w14:solidFill>
                    <w14:schemeClr w14:val="tx1"/>
                  </w14:solidFill>
                </w14:textFill>
              </w:rPr>
              <w:t>支持</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分诊去向选择。</w:t>
            </w:r>
          </w:p>
          <w:p w14:paraId="1DA6735D">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支持通过体温自动识别发热患者并进行发热患者登记。</w:t>
            </w:r>
          </w:p>
          <w:p w14:paraId="1F9B1C04">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支持双向转诊患者登记，根据来院方式、离科去向自动同步至患者双向转诊登记表。</w:t>
            </w:r>
          </w:p>
          <w:p w14:paraId="27A4D32E">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支持流感样病例登记，支持选择分诊患者自动同步到流感登记表，允许对流感患者执行修改和删除操作。</w:t>
            </w:r>
          </w:p>
          <w:p w14:paraId="242FA3D4">
            <w:pPr>
              <w:widowControl/>
              <w:spacing w:line="240" w:lineRule="auto"/>
              <w:ind w:leftChars="-10" w:hanging="21" w:hangingChars="10"/>
              <w:jc w:val="left"/>
              <w:rPr>
                <w:rFonts w:hint="eastAsia"/>
                <w:b w:val="0"/>
                <w:bCs w:val="0"/>
                <w:lang w:val="en-US" w:eastAsia="zh-CN"/>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支持动物伤害登记，支持选择分诊患者自动同步到动物伤害登记表，允许对动物伤害患者执行修改和删除操作。</w:t>
            </w:r>
          </w:p>
          <w:p w14:paraId="20CBB2C7">
            <w:pPr>
              <w:widowControl/>
              <w:spacing w:line="240" w:lineRule="auto"/>
              <w:ind w:leftChars="-10" w:hanging="21" w:hangingChars="10"/>
              <w:jc w:val="left"/>
              <w:rPr>
                <w:rFonts w:hint="eastAsia"/>
                <w:b w:val="0"/>
                <w:bCs w:val="0"/>
                <w:lang w:val="en-US" w:eastAsia="zh-CN"/>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支持救护车内手持移动终端预检分诊，将预检分诊提前实现上车即入院。并可通过手持移动终端开立检验检查等医嘱，患者到院后即可进行检验检查。</w:t>
            </w:r>
          </w:p>
        </w:tc>
      </w:tr>
      <w:tr w14:paraId="58A86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2378E8C5">
            <w:pPr>
              <w:pStyle w:val="4"/>
              <w:jc w:val="center"/>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p>
        </w:tc>
        <w:tc>
          <w:tcPr>
            <w:tcW w:w="960" w:type="dxa"/>
            <w:vAlign w:val="center"/>
          </w:tcPr>
          <w:p w14:paraId="0FE4450D">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tc>
        <w:tc>
          <w:tcPr>
            <w:tcW w:w="895" w:type="dxa"/>
            <w:vAlign w:val="center"/>
          </w:tcPr>
          <w:p w14:paraId="2B90C12B">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12E48779">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150153BE">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063275B6">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5ADD5356">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42037C28">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21C1088D">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0F49991D">
            <w:pPr>
              <w:widowControl/>
              <w:spacing w:line="240" w:lineRule="auto"/>
              <w:ind w:leftChars="-10" w:hanging="21" w:hangingChars="10"/>
              <w:jc w:val="cente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p>
          <w:p w14:paraId="300F4A8C">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患</w:t>
            </w:r>
          </w:p>
          <w:p w14:paraId="6D47F409">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者</w:t>
            </w:r>
          </w:p>
          <w:p w14:paraId="705DD84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诊</w:t>
            </w:r>
          </w:p>
          <w:p w14:paraId="6420FAD4">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疗</w:t>
            </w:r>
          </w:p>
          <w:p w14:paraId="040DBAAB">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工</w:t>
            </w:r>
          </w:p>
          <w:p w14:paraId="1D8587FA">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作</w:t>
            </w:r>
          </w:p>
          <w:p w14:paraId="53D04FD3">
            <w:pPr>
              <w:widowControl/>
              <w:spacing w:line="240" w:lineRule="auto"/>
              <w:ind w:leftChars="-10" w:hanging="21" w:hangingChars="10"/>
              <w:jc w:val="center"/>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站</w:t>
            </w:r>
          </w:p>
        </w:tc>
        <w:tc>
          <w:tcPr>
            <w:tcW w:w="5924" w:type="dxa"/>
          </w:tcPr>
          <w:p w14:paraId="5C3166A9">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支持高度集成，系统采用BS架构集成病历书写、医嘱开立、检查报告、检验报告、排队叫号、质控指标、病历打印、模板应用，患者转归，历史病历等等，在患者诊疗模块医生即可完成所有诊断治疗所有工作。</w:t>
            </w:r>
          </w:p>
          <w:p w14:paraId="39C91D21">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支持诊室选择。</w:t>
            </w:r>
          </w:p>
          <w:p w14:paraId="5E370EF4">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支持本诊室患者基本信息显示，当预检分诊后患者信息自动归属到所分诊的诊室，并按照分诊等级就行智能排序。当选中患者后显示患者姓名、年龄、性别、主诉。</w:t>
            </w:r>
          </w:p>
          <w:p w14:paraId="3EE0616F">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支持系统自带排队叫号，无需对接第三方排队叫号系统。</w:t>
            </w:r>
          </w:p>
          <w:p w14:paraId="48B5FF01">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支持患者列表按照待诊中、暂存、完成三类来进行分类显示。</w:t>
            </w:r>
          </w:p>
          <w:p w14:paraId="25CB9896">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支持病历书写使用模板或者复制其他患者病历。</w:t>
            </w:r>
          </w:p>
          <w:p w14:paraId="095988A5">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支持个人模板与科室模板，支持模板检索。</w:t>
            </w:r>
          </w:p>
          <w:p w14:paraId="257BE408">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支持模板修改以及删除。</w:t>
            </w:r>
          </w:p>
          <w:p w14:paraId="795F4079">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支持病历信息结构化存储。</w:t>
            </w:r>
          </w:p>
          <w:p w14:paraId="67DE78B8">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支持病历书写中辅助检查引用检验检查结果。</w:t>
            </w:r>
          </w:p>
          <w:p w14:paraId="58914EC8">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支持病历书写ICD诊断关联。</w:t>
            </w:r>
          </w:p>
          <w:p w14:paraId="2AFB94E9">
            <w:pPr>
              <w:widowControl/>
              <w:spacing w:line="240" w:lineRule="auto"/>
              <w:ind w:leftChars="-10" w:hanging="21" w:hangingChars="10"/>
              <w:jc w:val="left"/>
              <w:rPr>
                <w:rFonts w:hint="eastAsia"/>
                <w:b w:val="0"/>
                <w:bCs w:val="0"/>
                <w:lang w:val="en-US" w:eastAsia="zh-CN"/>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支持按照就诊记录查看患者历史病历文书，并引用至本次书写内容。</w:t>
            </w:r>
          </w:p>
          <w:p w14:paraId="2892D903">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支持病历书写体格检查中自动出现体格检查基本项目包括体温、血压、脉搏、呼吸。</w:t>
            </w:r>
          </w:p>
          <w:p w14:paraId="52D1F283">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支持特殊符号添加例如℃，℉，‰，㎡，mmol等等</w:t>
            </w:r>
          </w:p>
          <w:p w14:paraId="78794F7C">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支持病历保存、病历打印并记录打印次数。</w:t>
            </w:r>
          </w:p>
          <w:p w14:paraId="6297A1B4">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支持未完成患者病历暂存，当患者回看时直接在暂存列表中查到患者。</w:t>
            </w:r>
          </w:p>
          <w:p w14:paraId="09B0D5F8">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支持患者转留观后，留观病历直接同步转归前的普通病历，留观病历支持自动续页。</w:t>
            </w:r>
          </w:p>
          <w:p w14:paraId="65D40E99">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支持医嘱开立使用模板或者复制其他患者医嘱，当选中模板或者复制他人医嘱时可以进行再次选择医嘱项目，支持单选，多选，全选等操作。</w:t>
            </w:r>
          </w:p>
          <w:p w14:paraId="77E9C61C">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支持开立组合医嘱并进行组合标识。</w:t>
            </w:r>
          </w:p>
          <w:p w14:paraId="1C633590">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医嘱开立支持添加诊疗、添加西药、添加材料、添加检查。</w:t>
            </w:r>
          </w:p>
          <w:p w14:paraId="4EAD49CA">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支持查看医嘱明细支持打印医嘱明细。</w:t>
            </w:r>
          </w:p>
          <w:p w14:paraId="1FB61550">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医嘱模块支持是否皮试以及皮试结果显示。</w:t>
            </w:r>
          </w:p>
          <w:p w14:paraId="18DBDA36">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医嘱模块费用显示包括已缴费、未缴费、总价。</w:t>
            </w:r>
          </w:p>
          <w:p w14:paraId="28C53FB7">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支持开立检查检查医嘱时分门别类列出检验检查项目，方便医生快速查找检验检查项目。</w:t>
            </w:r>
          </w:p>
          <w:p w14:paraId="21499B42">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支持医嘱开立后根据医嘱类型自动生成输液登记卡。</w:t>
            </w:r>
          </w:p>
          <w:p w14:paraId="2E8685AF">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支持医嘱开立后根据医嘱类型自动生成处方签，并自动导入患者基本信息与药物信息。</w:t>
            </w:r>
          </w:p>
          <w:p w14:paraId="2E9D13E8">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医嘱开立后根据医嘱类型自动检查申请单，申请单自动导入患者基本信息、检查项目，开单医生、检查地址等等。并进行相关温馨提示例如X射线具有辐射性，可能对机体有一定影响，医院会对患者采取相应放射防护措施，凡到放射科进 行 放射检查者，均视为已知晓并理解本检查方案和风险，并配合医护人员共同完成检查。</w:t>
            </w:r>
          </w:p>
          <w:p w14:paraId="16BAC891">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支持开立入院证，入院证中自动导入患者基本信息。</w:t>
            </w:r>
          </w:p>
          <w:p w14:paraId="50FDBF32">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支持急诊病历封面自动生成。</w:t>
            </w:r>
          </w:p>
          <w:p w14:paraId="3714A517">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支持输液瓶贴打印。</w:t>
            </w:r>
          </w:p>
          <w:p w14:paraId="36074289">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支持多学科MDT会诊记录。</w:t>
            </w:r>
          </w:p>
          <w:p w14:paraId="326607C1">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其他所有医疗文书的应用，例如创伤指数评分(TI)、创伤CRAMS评分量表、FAST-ED评分量表、SOFA评分、MORSE跌倒/坠床危险性评估及预防措施表、知情拒绝检测书、急诊科危重病人抢救记录、病人拒绝检查、住院、治疗告知书、超说明用药知情同意书、双向转诊单（转出）、双向转诊单(回转)、结核菌素试验( PPD 皮试)知情同意书</w:t>
            </w:r>
            <w:r>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t> </w:t>
            </w: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等等。</w:t>
            </w:r>
          </w:p>
          <w:p w14:paraId="64FDDCB4">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支持病历质控，有权限的医生可以对其他医生的病历文书进行质量质控，支持对病历的各个部分进行摘要和批注。当医生按照摘要和批注完善病历后有权限的医生可决定病历是否通过审核。</w:t>
            </w:r>
          </w:p>
          <w:p w14:paraId="621EB13B">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支持病历质控统计，支持查看已质控，待复核，待修改。</w:t>
            </w:r>
          </w:p>
          <w:p w14:paraId="46B84A03">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支持全屏幕显示。</w:t>
            </w:r>
          </w:p>
          <w:p w14:paraId="7F56FAA2">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支持质控指标填写方便后期统计数据。</w:t>
            </w:r>
          </w:p>
          <w:p w14:paraId="6A10D4C0">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支持专科病重数据自动获取与手工填写。</w:t>
            </w:r>
          </w:p>
          <w:p w14:paraId="68E9ECBA">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支持排队叫号大屏幕显示患者信息。</w:t>
            </w:r>
          </w:p>
          <w:p w14:paraId="1525C679">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支持叫号看板信息显示。</w:t>
            </w:r>
          </w:p>
          <w:p w14:paraId="12CC634F">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支持点击呼叫后语音呼叫患者。</w:t>
            </w:r>
          </w:p>
          <w:p w14:paraId="2E158A7C">
            <w:pPr>
              <w:widowControl/>
              <w:spacing w:line="240" w:lineRule="auto"/>
              <w:ind w:leftChars="-10" w:hanging="21" w:hangingChars="10"/>
              <w:jc w:val="left"/>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支持置顶与重排患者顺序。</w:t>
            </w:r>
          </w:p>
          <w:p w14:paraId="0FCC5B1E">
            <w:pPr>
              <w:widowControl/>
              <w:spacing w:line="240" w:lineRule="auto"/>
              <w:ind w:leftChars="-10" w:hanging="21" w:hangingChars="10"/>
              <w:jc w:val="left"/>
              <w:rPr>
                <w:rFonts w:hint="default" w:ascii="仿宋" w:hAnsi="仿宋" w:eastAsia="仿宋" w:cs="宋体"/>
                <w:b w:val="0"/>
                <w:bCs w:val="0"/>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val="0"/>
                <w:bCs w:val="0"/>
                <w:color w:val="000000" w:themeColor="text1"/>
                <w:kern w:val="0"/>
                <w:sz w:val="21"/>
                <w:szCs w:val="21"/>
                <w:lang w:val="en-US" w:eastAsia="zh-CN" w:bidi="ar-SA"/>
                <w14:textFill>
                  <w14:solidFill>
                    <w14:schemeClr w14:val="tx1"/>
                  </w14:solidFill>
                </w14:textFill>
              </w:rPr>
              <w:t>支持患者回看。</w:t>
            </w:r>
          </w:p>
        </w:tc>
      </w:tr>
      <w:tr w14:paraId="3967B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7A349697">
            <w:pPr>
              <w:pStyle w:val="4"/>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p>
        </w:tc>
        <w:tc>
          <w:tcPr>
            <w:tcW w:w="960" w:type="dxa"/>
            <w:vAlign w:val="center"/>
          </w:tcPr>
          <w:p w14:paraId="2FD58948">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tc>
        <w:tc>
          <w:tcPr>
            <w:tcW w:w="895" w:type="dxa"/>
            <w:vAlign w:val="center"/>
          </w:tcPr>
          <w:p w14:paraId="6EFB49A0">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医</w:t>
            </w:r>
          </w:p>
          <w:p w14:paraId="72880680">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护</w:t>
            </w:r>
          </w:p>
          <w:p w14:paraId="57973860">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一</w:t>
            </w:r>
          </w:p>
          <w:p w14:paraId="33879477">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体</w:t>
            </w:r>
          </w:p>
          <w:p w14:paraId="213E5210">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工</w:t>
            </w:r>
          </w:p>
          <w:p w14:paraId="1BF46C9E">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作</w:t>
            </w:r>
          </w:p>
          <w:p w14:paraId="314435A5">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站</w:t>
            </w:r>
          </w:p>
        </w:tc>
        <w:tc>
          <w:tcPr>
            <w:tcW w:w="5924" w:type="dxa"/>
          </w:tcPr>
          <w:p w14:paraId="687C24EF">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医护一体工作站包含输液室、留观室、抢救室、EICU患总览。</w:t>
            </w:r>
          </w:p>
          <w:p w14:paraId="6357D93C">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支持对患者进行转入转出以及转归操作。</w:t>
            </w:r>
          </w:p>
          <w:p w14:paraId="6368B88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支持待分配患者转入该区域。</w:t>
            </w:r>
          </w:p>
          <w:p w14:paraId="5C41ADA2">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支持在该区域患者转出该区域。</w:t>
            </w:r>
          </w:p>
          <w:p w14:paraId="3E2C06C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支持患者新医嘱提醒。</w:t>
            </w:r>
          </w:p>
          <w:p w14:paraId="13B28BCF">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支持腕带打印、床头卡打印。</w:t>
            </w:r>
          </w:p>
          <w:p w14:paraId="2C1BCE17">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支持医嘱开立以及医嘱补录。</w:t>
            </w:r>
          </w:p>
          <w:p w14:paraId="2CC95C68">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支持病历查看。</w:t>
            </w:r>
          </w:p>
          <w:p w14:paraId="5D289B7B">
            <w:pPr>
              <w:widowControl/>
              <w:spacing w:line="240" w:lineRule="auto"/>
              <w:ind w:leftChars="-10" w:hanging="21" w:hangingChars="10"/>
              <w:jc w:val="left"/>
              <w:rPr>
                <w:rFonts w:hint="eastAsia"/>
                <w:lang w:val="en-US" w:eastAsia="zh-CN"/>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支持医嘱查看，</w:t>
            </w:r>
            <w:r>
              <w:rPr>
                <w:rFonts w:hint="eastAsia" w:ascii="仿宋" w:hAnsi="仿宋" w:eastAsia="仿宋" w:cs="宋体"/>
                <w:color w:val="000000" w:themeColor="text1"/>
                <w:kern w:val="0"/>
                <w:sz w:val="21"/>
                <w:szCs w:val="21"/>
                <w:lang w:val="zh-CN" w:eastAsia="zh-CN" w:bidi="ar-SA"/>
                <w14:textFill>
                  <w14:solidFill>
                    <w14:schemeClr w14:val="tx1"/>
                  </w14:solidFill>
                </w14:textFill>
              </w:rPr>
              <w:t>能够清楚的识别医生下达的医嘱组套关系。</w:t>
            </w:r>
          </w:p>
          <w:p w14:paraId="785DEF79">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支持打印临时医嘱单。</w:t>
            </w:r>
          </w:p>
          <w:p w14:paraId="0480451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支持医嘱核对。</w:t>
            </w:r>
          </w:p>
          <w:p w14:paraId="3589E2D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支持已核对后的医嘱进行医嘱执行。</w:t>
            </w:r>
          </w:p>
          <w:p w14:paraId="3A78058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支持医嘱批量执行。</w:t>
            </w:r>
          </w:p>
          <w:p w14:paraId="10BE9514">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支持医嘱执行单打印</w:t>
            </w:r>
            <w:r>
              <w:rPr>
                <w:rFonts w:hint="eastAsia" w:ascii="仿宋" w:hAnsi="仿宋" w:eastAsia="仿宋" w:cs="宋体"/>
                <w:color w:val="000000" w:themeColor="text1"/>
                <w:kern w:val="0"/>
                <w:sz w:val="21"/>
                <w:szCs w:val="21"/>
                <w:lang w:val="zh-CN" w:eastAsia="zh-CN" w:bidi="ar-SA"/>
                <w14:textFill>
                  <w14:solidFill>
                    <w14:schemeClr w14:val="tx1"/>
                  </w14:solidFill>
                </w14:textFill>
              </w:rPr>
              <w:t>，包括输液单、注射单、</w:t>
            </w:r>
            <w:r>
              <w:rPr>
                <w:rFonts w:hint="eastAsia" w:ascii="仿宋" w:hAnsi="仿宋" w:eastAsia="仿宋" w:cs="宋体"/>
                <w:color w:val="000000" w:themeColor="text1"/>
                <w:kern w:val="0"/>
                <w:sz w:val="21"/>
                <w:szCs w:val="21"/>
                <w:lang w:val="en-US" w:eastAsia="zh-CN" w:bidi="ar-SA"/>
                <w14:textFill>
                  <w14:solidFill>
                    <w14:schemeClr w14:val="tx1"/>
                  </w14:solidFill>
                </w14:textFill>
              </w:rPr>
              <w:t>口服单、皮试单、贴瓶签等。</w:t>
            </w:r>
          </w:p>
          <w:p w14:paraId="3BBA9898">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支持护士补充计费。</w:t>
            </w:r>
          </w:p>
          <w:p w14:paraId="743E1692">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支持通过颜色区分医嘱状态，包括待核对、已核对、已停止等；</w:t>
            </w:r>
          </w:p>
          <w:p w14:paraId="6027880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护理记录单数据记录，护理记录单单可自由配置需要的项目，护理记录单填写内容包括生命体征、意识、瞳孔、对光反射、入量、出量、主要抢救措施(吸氧、气管插管、静脉通道、心电简化、CPR、洗胃、吸痰)、病情观察以及护理措施。</w:t>
            </w:r>
          </w:p>
          <w:p w14:paraId="41E0CB00">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支持护理记录自动换行。</w:t>
            </w:r>
          </w:p>
          <w:p w14:paraId="78AB1973">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支持患者出入量记录；</w:t>
            </w:r>
          </w:p>
          <w:p w14:paraId="79643BE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支持生命体征可以自动获取监护仪上的数据。</w:t>
            </w:r>
          </w:p>
          <w:p w14:paraId="513BDE00">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支持同步预检分诊生命体征，自动创建首条护理记录信息；</w:t>
            </w:r>
          </w:p>
          <w:p w14:paraId="525FED27">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支持体温单数据记录。</w:t>
            </w:r>
          </w:p>
          <w:p w14:paraId="0DC1969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支持体温单图表同步展示，根据体温记录数据绘制图表的功能，在图表上显示患者的体温历史趋势；</w:t>
            </w:r>
          </w:p>
          <w:p w14:paraId="798843C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支持体温单打印。</w:t>
            </w:r>
          </w:p>
          <w:p w14:paraId="4B1FF269">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支持获取门诊医嘱并在急诊科执行。</w:t>
            </w:r>
          </w:p>
          <w:p w14:paraId="63D3204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支持查看患者所有计费项目费用明细。</w:t>
            </w:r>
          </w:p>
          <w:p w14:paraId="1F21FE25">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支持患者评分评估。</w:t>
            </w:r>
          </w:p>
          <w:p w14:paraId="4CC554A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支持住院患者转运交接记录单</w:t>
            </w:r>
          </w:p>
          <w:p w14:paraId="077BA84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支持手术患者护理评估及交接记录单</w:t>
            </w:r>
          </w:p>
          <w:p w14:paraId="2CAA614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支持留观患者护理评估单</w:t>
            </w:r>
          </w:p>
          <w:p w14:paraId="73C2E598">
            <w:pPr>
              <w:widowControl/>
              <w:spacing w:line="240" w:lineRule="auto"/>
              <w:ind w:leftChars="-10" w:hanging="21" w:hangingChars="10"/>
              <w:jc w:val="left"/>
              <w:rPr>
                <w:rFonts w:hint="eastAsia" w:eastAsia="宋体"/>
                <w:lang w:val="en-US" w:eastAsia="zh-CN"/>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支持急诊观察患者护理记录单</w:t>
            </w:r>
          </w:p>
        </w:tc>
      </w:tr>
      <w:tr w14:paraId="5B3E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5227A28D">
            <w:pPr>
              <w:pStyle w:val="4"/>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p>
        </w:tc>
        <w:tc>
          <w:tcPr>
            <w:tcW w:w="960" w:type="dxa"/>
            <w:vAlign w:val="center"/>
          </w:tcPr>
          <w:p w14:paraId="757C5328">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tc>
        <w:tc>
          <w:tcPr>
            <w:tcW w:w="895" w:type="dxa"/>
            <w:vAlign w:val="center"/>
          </w:tcPr>
          <w:p w14:paraId="79129C0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患</w:t>
            </w:r>
          </w:p>
          <w:p w14:paraId="52F31FE2">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者</w:t>
            </w:r>
          </w:p>
          <w:p w14:paraId="0F5FA745">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详</w:t>
            </w:r>
          </w:p>
          <w:p w14:paraId="5DFCB4B8">
            <w:pPr>
              <w:widowControl/>
              <w:spacing w:line="240" w:lineRule="auto"/>
              <w:ind w:leftChars="-10" w:hanging="21" w:hangingChars="10"/>
              <w:jc w:val="center"/>
              <w:rPr>
                <w:rFonts w:hint="default"/>
                <w:lang w:val="en-US" w:eastAsia="zh-CN"/>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情</w:t>
            </w:r>
          </w:p>
        </w:tc>
        <w:tc>
          <w:tcPr>
            <w:tcW w:w="5924" w:type="dxa"/>
          </w:tcPr>
          <w:p w14:paraId="76EF624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支持患者检索。</w:t>
            </w:r>
          </w:p>
          <w:p w14:paraId="6B27525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支持按检索条件显示患者列表。</w:t>
            </w:r>
          </w:p>
          <w:p w14:paraId="563C710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支持按时间区间显示患者列表。</w:t>
            </w:r>
          </w:p>
          <w:p w14:paraId="0D57EBE8">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支持患者列表导出EXCEL。</w:t>
            </w:r>
          </w:p>
          <w:p w14:paraId="2EF09C05">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支持患者图表显示。</w:t>
            </w:r>
          </w:p>
          <w:p w14:paraId="0999B4A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支持列表显示图标显示切换。</w:t>
            </w:r>
          </w:p>
          <w:p w14:paraId="1626A3F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支持患者诊疗全流程图显示，流程图显示时间节点以及耗费时长。</w:t>
            </w:r>
          </w:p>
          <w:p w14:paraId="7CEBC48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支持质控指标。</w:t>
            </w:r>
          </w:p>
          <w:p w14:paraId="06004FA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支持患者基本信息查看。</w:t>
            </w:r>
          </w:p>
          <w:p w14:paraId="6984058E">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支持患者所有病历查看打印导出PDF。</w:t>
            </w:r>
          </w:p>
          <w:p w14:paraId="42839E7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支持医嘱详情查看。</w:t>
            </w:r>
          </w:p>
          <w:p w14:paraId="7C659140">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支持评分数据查看。</w:t>
            </w:r>
          </w:p>
          <w:p w14:paraId="3BEE521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支持其他医疗文书查看。</w:t>
            </w:r>
          </w:p>
          <w:p w14:paraId="2198AF62">
            <w:pPr>
              <w:widowControl/>
              <w:spacing w:line="240" w:lineRule="auto"/>
              <w:ind w:leftChars="-10" w:hanging="21" w:hangingChars="10"/>
              <w:jc w:val="left"/>
              <w:rPr>
                <w:rFonts w:hint="default"/>
                <w:lang w:val="en-US" w:eastAsia="zh-CN"/>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支持所有医疗文书打印导出PDF。</w:t>
            </w:r>
          </w:p>
        </w:tc>
      </w:tr>
      <w:tr w14:paraId="7A0C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4FD587E4">
            <w:pPr>
              <w:pStyle w:val="4"/>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p>
        </w:tc>
        <w:tc>
          <w:tcPr>
            <w:tcW w:w="960" w:type="dxa"/>
            <w:vAlign w:val="center"/>
          </w:tcPr>
          <w:p w14:paraId="1F9D5AA5">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tc>
        <w:tc>
          <w:tcPr>
            <w:tcW w:w="895" w:type="dxa"/>
            <w:vAlign w:val="center"/>
          </w:tcPr>
          <w:p w14:paraId="4DAC96E5">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科</w:t>
            </w:r>
          </w:p>
          <w:p w14:paraId="7C69C2D8">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室</w:t>
            </w:r>
          </w:p>
          <w:p w14:paraId="20BD4FF4">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排</w:t>
            </w:r>
          </w:p>
          <w:p w14:paraId="559C038B">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班</w:t>
            </w:r>
          </w:p>
        </w:tc>
        <w:tc>
          <w:tcPr>
            <w:tcW w:w="5924" w:type="dxa"/>
          </w:tcPr>
          <w:p w14:paraId="5D1535C8">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 xml:space="preserve">支持科室班次时间分配例如 </w:t>
            </w:r>
            <w:r>
              <w:rPr>
                <w:rFonts w:hint="default" w:ascii="仿宋" w:hAnsi="仿宋" w:eastAsia="仿宋" w:cs="宋体"/>
                <w:color w:val="000000" w:themeColor="text1"/>
                <w:kern w:val="0"/>
                <w:sz w:val="21"/>
                <w:szCs w:val="21"/>
                <w:lang w:val="en-US" w:eastAsia="zh-CN" w:bidi="ar-SA"/>
                <w14:textFill>
                  <w14:solidFill>
                    <w14:schemeClr w14:val="tx1"/>
                  </w14:solidFill>
                </w14:textFill>
              </w:rPr>
              <w:t>夜班：18:00:00至08:00:00晚班：</w:t>
            </w:r>
          </w:p>
          <w:p w14:paraId="0F3A9B9A">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default" w:ascii="仿宋" w:hAnsi="仿宋" w:eastAsia="仿宋" w:cs="宋体"/>
                <w:color w:val="000000" w:themeColor="text1"/>
                <w:kern w:val="0"/>
                <w:sz w:val="21"/>
                <w:szCs w:val="21"/>
                <w:lang w:val="en-US" w:eastAsia="zh-CN" w:bidi="ar-SA"/>
                <w14:textFill>
                  <w14:solidFill>
                    <w14:schemeClr w14:val="tx1"/>
                  </w14:solidFill>
                </w14:textFill>
              </w:rPr>
              <w:t>12:00:00至18:00:00早班：08:00:00至12:00:00</w:t>
            </w:r>
            <w:r>
              <w:rPr>
                <w:rFonts w:hint="eastAsia" w:ascii="仿宋" w:hAnsi="仿宋" w:eastAsia="仿宋" w:cs="宋体"/>
                <w:color w:val="000000" w:themeColor="text1"/>
                <w:kern w:val="0"/>
                <w:sz w:val="21"/>
                <w:szCs w:val="21"/>
                <w:lang w:val="en-US" w:eastAsia="zh-CN" w:bidi="ar-SA"/>
                <w14:textFill>
                  <w14:solidFill>
                    <w14:schemeClr w14:val="tx1"/>
                  </w14:solidFill>
                </w14:textFill>
              </w:rPr>
              <w:t>。</w:t>
            </w:r>
          </w:p>
          <w:p w14:paraId="425EE3A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支持等级、职级、带教医生信息填写。</w:t>
            </w:r>
          </w:p>
          <w:p w14:paraId="49F2F35B">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支持备注信息填写。</w:t>
            </w:r>
          </w:p>
          <w:p w14:paraId="34DF823F">
            <w:pPr>
              <w:widowControl/>
              <w:spacing w:line="240" w:lineRule="auto"/>
              <w:ind w:leftChars="-10" w:hanging="21" w:hangingChars="10"/>
              <w:jc w:val="left"/>
              <w:rPr>
                <w:rFonts w:hint="default"/>
                <w:lang w:val="en-US" w:eastAsia="zh-CN"/>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支持自动生成一周内排班信息。</w:t>
            </w:r>
          </w:p>
        </w:tc>
      </w:tr>
      <w:tr w14:paraId="72782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1C3C9FD0">
            <w:pPr>
              <w:pStyle w:val="4"/>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p>
        </w:tc>
        <w:tc>
          <w:tcPr>
            <w:tcW w:w="960" w:type="dxa"/>
            <w:vAlign w:val="center"/>
          </w:tcPr>
          <w:p w14:paraId="2C0B8794">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tc>
        <w:tc>
          <w:tcPr>
            <w:tcW w:w="895" w:type="dxa"/>
            <w:vAlign w:val="center"/>
          </w:tcPr>
          <w:p w14:paraId="37F8DB47">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6158211D">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1A41268F">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565CA426">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21049B4C">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0132FF1A">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599075F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统</w:t>
            </w:r>
          </w:p>
          <w:p w14:paraId="1CB01D17">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计</w:t>
            </w:r>
          </w:p>
          <w:p w14:paraId="0F5404E5">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分</w:t>
            </w:r>
          </w:p>
          <w:p w14:paraId="7930F782">
            <w:pPr>
              <w:widowControl/>
              <w:spacing w:line="240" w:lineRule="auto"/>
              <w:ind w:leftChars="-10" w:hanging="21" w:hangingChars="10"/>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析</w:t>
            </w:r>
          </w:p>
        </w:tc>
        <w:tc>
          <w:tcPr>
            <w:tcW w:w="5924" w:type="dxa"/>
          </w:tcPr>
          <w:p w14:paraId="16ED5BD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支持质急诊医学专业医疗质量控制指标（2024 年版）各项质控指标自动统计汇总并支持数据导出EXCEL表。质控指标包括</w:t>
            </w:r>
          </w:p>
          <w:p w14:paraId="73D59DC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急诊科医患比（EM-SI-01）</w:t>
            </w:r>
          </w:p>
          <w:p w14:paraId="5CC6EFC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急诊科护患比（EM-SI-02）</w:t>
            </w:r>
          </w:p>
          <w:p w14:paraId="744B578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抢救室滞留时间（中位数）（EM-ME-03）</w:t>
            </w:r>
          </w:p>
          <w:p w14:paraId="2ADB708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急诊分级分诊执行率（EM-ME-04）</w:t>
            </w:r>
          </w:p>
          <w:p w14:paraId="7158B87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 IV 级患者静脉输液使用率（EM-ME-05）</w:t>
            </w:r>
          </w:p>
          <w:p w14:paraId="32DD471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心肺复苏（CPR）质量监测率（EM-CA-06）</w:t>
            </w:r>
          </w:p>
          <w:p w14:paraId="574CF12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心脏骤停复苏成功率（EM-CA-07）</w:t>
            </w:r>
          </w:p>
          <w:p w14:paraId="55142F53">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复苏成功后昏迷患者目标体温管理实施率（EM-CA-08）</w:t>
            </w:r>
          </w:p>
          <w:p w14:paraId="20AEE0F0">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心脏骤停患者出院存活率（EM-CA-09）</w:t>
            </w:r>
          </w:p>
          <w:p w14:paraId="749940C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脓毒性休克 1小时内抗菌药物使用率（EM-SS-10）</w:t>
            </w:r>
          </w:p>
          <w:p w14:paraId="139FA24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急诊重症监护病房（EICU）脓毒性休克患者病死率（EM-SS-11）</w:t>
            </w:r>
          </w:p>
          <w:p w14:paraId="07A7DFE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急诊创伤患者创伤量化评估率（EM-ET-12）</w:t>
            </w:r>
          </w:p>
          <w:p w14:paraId="3F648CC8">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严重创伤患者就诊－手术时间（中位数）（EM-ET-13）</w:t>
            </w:r>
          </w:p>
          <w:p w14:paraId="4505230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严重创伤患者 24 小时存活率（EM-ET-14）</w:t>
            </w:r>
          </w:p>
          <w:p w14:paraId="348F2AD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急诊中心静脉置管早期血管并发症发生率（EM-EP-15）</w:t>
            </w:r>
          </w:p>
          <w:p w14:paraId="1CBB68F5">
            <w:pPr>
              <w:widowControl/>
              <w:spacing w:line="240" w:lineRule="auto"/>
              <w:ind w:leftChars="-10" w:hanging="21" w:hangingChars="10"/>
              <w:jc w:val="left"/>
              <w:rPr>
                <w:rFonts w:hint="default"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体外膜肺氧合辅助心肺复苏（ECPR）实施时间（中位数）（EM-EP-16）</w:t>
            </w:r>
          </w:p>
          <w:p w14:paraId="5E0F68F4">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支持实时概况数据看板，数据看板中展示患者分级统计、地图模式展示患者来源分布，各分诊区域柱状图展示，按病重展示柱状图，就诊时段统计折线图。</w:t>
            </w:r>
          </w:p>
          <w:p w14:paraId="2F4450A2">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支持患者分级统计饼状图展示。</w:t>
            </w:r>
          </w:p>
          <w:p w14:paraId="697665FE">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支持高血压分级统计饼状图展示。</w:t>
            </w:r>
          </w:p>
          <w:p w14:paraId="702C3FA5">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支持分诊正确率饼状图展示。</w:t>
            </w:r>
          </w:p>
          <w:p w14:paraId="1FA3DB66">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支持抢救人次、抢救成功人次、抢救成功率、死亡人数、转住院人次、转院人次统计。</w:t>
            </w:r>
          </w:p>
          <w:p w14:paraId="2144B617">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支持患者去向统计。</w:t>
            </w:r>
          </w:p>
          <w:p w14:paraId="0A477F77">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支持患者去向统计。</w:t>
            </w:r>
          </w:p>
          <w:p w14:paraId="0204BB37">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系统提供部分预设统计报表，需</w:t>
            </w:r>
            <w:r>
              <w:rPr>
                <w:rFonts w:hint="eastAsia" w:ascii="仿宋" w:hAnsi="仿宋" w:eastAsia="仿宋" w:cs="宋体"/>
                <w:color w:val="000000" w:themeColor="text1"/>
                <w:kern w:val="0"/>
                <w:sz w:val="21"/>
                <w:szCs w:val="21"/>
                <w:lang w:val="en-US" w:eastAsia="zh-Hans" w:bidi="ar-SA"/>
                <w14:textFill>
                  <w14:solidFill>
                    <w14:schemeClr w14:val="tx1"/>
                  </w14:solidFill>
                </w14:textFill>
              </w:rPr>
              <w:t>按照科室业务需求，支持科室常用统计报表的</w:t>
            </w:r>
            <w:r>
              <w:rPr>
                <w:rFonts w:hint="eastAsia" w:ascii="仿宋" w:hAnsi="仿宋" w:eastAsia="仿宋" w:cs="宋体"/>
                <w:color w:val="000000" w:themeColor="text1"/>
                <w:kern w:val="0"/>
                <w:sz w:val="21"/>
                <w:szCs w:val="21"/>
                <w:lang w:val="en-US" w:eastAsia="zh-CN" w:bidi="ar-SA"/>
                <w14:textFill>
                  <w14:solidFill>
                    <w14:schemeClr w14:val="tx1"/>
                  </w14:solidFill>
                </w14:textFill>
              </w:rPr>
              <w:t>定制</w:t>
            </w:r>
            <w:r>
              <w:rPr>
                <w:rFonts w:hint="eastAsia" w:ascii="仿宋" w:hAnsi="仿宋" w:eastAsia="仿宋" w:cs="宋体"/>
                <w:color w:val="000000" w:themeColor="text1"/>
                <w:kern w:val="0"/>
                <w:sz w:val="21"/>
                <w:szCs w:val="21"/>
                <w:lang w:val="en-US" w:eastAsia="zh-Hans" w:bidi="ar-SA"/>
                <w14:textFill>
                  <w14:solidFill>
                    <w14:schemeClr w14:val="tx1"/>
                  </w14:solidFill>
                </w14:textFill>
              </w:rPr>
              <w:t>开发</w:t>
            </w:r>
            <w:r>
              <w:rPr>
                <w:rFonts w:hint="eastAsia" w:ascii="仿宋" w:hAnsi="仿宋" w:eastAsia="仿宋" w:cs="宋体"/>
                <w:color w:val="000000" w:themeColor="text1"/>
                <w:kern w:val="0"/>
                <w:sz w:val="21"/>
                <w:szCs w:val="21"/>
                <w:lang w:val="en-US" w:eastAsia="zh-CN" w:bidi="ar-SA"/>
                <w14:textFill>
                  <w14:solidFill>
                    <w14:schemeClr w14:val="tx1"/>
                  </w14:solidFill>
                </w14:textFill>
              </w:rPr>
              <w:t>。</w:t>
            </w:r>
          </w:p>
        </w:tc>
      </w:tr>
      <w:tr w14:paraId="19BC7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14:paraId="798E802F">
            <w:pPr>
              <w:pStyle w:val="4"/>
              <w:jc w:val="center"/>
              <w:rPr>
                <w:rFonts w:hint="default" w:ascii="仿宋" w:hAnsi="仿宋" w:eastAsia="仿宋" w:cs="宋体"/>
                <w:b/>
                <w:bCs/>
                <w:color w:val="000000" w:themeColor="text1"/>
                <w:kern w:val="0"/>
                <w:sz w:val="21"/>
                <w:szCs w:val="21"/>
                <w:lang w:val="en-US" w:eastAsia="zh-CN" w:bidi="ar-SA"/>
                <w14:textFill>
                  <w14:solidFill>
                    <w14:schemeClr w14:val="tx1"/>
                  </w14:solidFill>
                </w14:textFill>
              </w:rPr>
            </w:pPr>
          </w:p>
        </w:tc>
        <w:tc>
          <w:tcPr>
            <w:tcW w:w="960" w:type="dxa"/>
            <w:vAlign w:val="center"/>
          </w:tcPr>
          <w:p w14:paraId="74E7E3EF">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tc>
        <w:tc>
          <w:tcPr>
            <w:tcW w:w="895" w:type="dxa"/>
            <w:vAlign w:val="center"/>
          </w:tcPr>
          <w:p w14:paraId="275DCEAC">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p>
          <w:p w14:paraId="13CE95B3">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设</w:t>
            </w:r>
          </w:p>
          <w:p w14:paraId="1D15FCC2">
            <w:pPr>
              <w:widowControl/>
              <w:spacing w:line="240" w:lineRule="auto"/>
              <w:ind w:leftChars="-10" w:hanging="21" w:hangingChars="10"/>
              <w:jc w:val="center"/>
              <w:rPr>
                <w:rFonts w:hint="eastAsia" w:ascii="仿宋" w:hAnsi="仿宋" w:eastAsia="仿宋" w:cs="宋体"/>
                <w:b/>
                <w:bCs/>
                <w:color w:val="000000" w:themeColor="text1"/>
                <w:kern w:val="0"/>
                <w:sz w:val="21"/>
                <w:szCs w:val="21"/>
                <w:lang w:val="en-US" w:eastAsia="zh-CN" w:bidi="ar-SA"/>
                <w14:textFill>
                  <w14:solidFill>
                    <w14:schemeClr w14:val="tx1"/>
                  </w14:solidFill>
                </w14:textFill>
              </w:rPr>
            </w:pPr>
            <w:r>
              <w:rPr>
                <w:rFonts w:hint="eastAsia" w:ascii="仿宋" w:hAnsi="仿宋" w:eastAsia="仿宋" w:cs="宋体"/>
                <w:b/>
                <w:bCs/>
                <w:color w:val="000000" w:themeColor="text1"/>
                <w:kern w:val="0"/>
                <w:sz w:val="21"/>
                <w:szCs w:val="21"/>
                <w:lang w:val="en-US" w:eastAsia="zh-CN" w:bidi="ar-SA"/>
                <w14:textFill>
                  <w14:solidFill>
                    <w14:schemeClr w14:val="tx1"/>
                  </w14:solidFill>
                </w14:textFill>
              </w:rPr>
              <w:t>置</w:t>
            </w:r>
          </w:p>
          <w:p w14:paraId="5BA613A8">
            <w:pPr>
              <w:pStyle w:val="2"/>
              <w:rPr>
                <w:rFonts w:hint="default"/>
                <w:lang w:val="en-US" w:eastAsia="zh-CN"/>
              </w:rPr>
            </w:pPr>
          </w:p>
        </w:tc>
        <w:tc>
          <w:tcPr>
            <w:tcW w:w="5924" w:type="dxa"/>
          </w:tcPr>
          <w:p w14:paraId="54059B4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支持床位管理。</w:t>
            </w:r>
          </w:p>
          <w:p w14:paraId="4745B8F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支持诊室管理。</w:t>
            </w:r>
          </w:p>
          <w:p w14:paraId="4B8D5DB8">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支持模板设置。</w:t>
            </w:r>
          </w:p>
          <w:p w14:paraId="55EB53C8">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支持护理设置。</w:t>
            </w:r>
          </w:p>
          <w:p w14:paraId="355CFB7F">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支持账号管理。</w:t>
            </w:r>
          </w:p>
          <w:p w14:paraId="6B5377B1">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支持角色管理。</w:t>
            </w:r>
          </w:p>
          <w:p w14:paraId="45880B6C">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支持菜单管理。</w:t>
            </w:r>
          </w:p>
          <w:p w14:paraId="611A0BCD">
            <w:pPr>
              <w:widowControl/>
              <w:spacing w:line="240" w:lineRule="auto"/>
              <w:ind w:leftChars="-10" w:hanging="21" w:hangingChars="10"/>
              <w:jc w:val="left"/>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支持基础数据。</w:t>
            </w:r>
          </w:p>
          <w:p w14:paraId="16793B5D">
            <w:pPr>
              <w:widowControl/>
              <w:spacing w:line="240" w:lineRule="auto"/>
              <w:ind w:leftChars="-10" w:hanging="21" w:hangingChars="10"/>
              <w:jc w:val="left"/>
              <w:rPr>
                <w:rFonts w:hint="default"/>
                <w:lang w:val="en-US" w:eastAsia="zh-CN"/>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支持操作日志。</w:t>
            </w:r>
          </w:p>
        </w:tc>
      </w:tr>
    </w:tbl>
    <w:p w14:paraId="0BBEA2B0">
      <w:pPr>
        <w:pStyle w:val="7"/>
        <w:numPr>
          <w:ilvl w:val="0"/>
          <w:numId w:val="0"/>
        </w:numPr>
        <w:rPr>
          <w:rFonts w:hint="eastAsia"/>
        </w:rPr>
      </w:pPr>
    </w:p>
    <w:p w14:paraId="51836B19">
      <w:pPr>
        <w:pStyle w:val="2"/>
        <w:spacing w:after="0"/>
        <w:jc w:val="both"/>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lang w:val="en-US" w:eastAsia="zh-CN"/>
        </w:rPr>
        <w:t>商务</w:t>
      </w:r>
      <w:r>
        <w:rPr>
          <w:rFonts w:hint="eastAsia" w:ascii="黑体" w:hAnsi="黑体" w:eastAsia="黑体" w:cs="黑体"/>
          <w:color w:val="auto"/>
          <w:sz w:val="32"/>
          <w:szCs w:val="32"/>
          <w:lang w:eastAsia="zh-CN"/>
        </w:rPr>
        <w:t>要求</w:t>
      </w:r>
    </w:p>
    <w:p w14:paraId="7B97B2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仿宋_GB2312"/>
          <w:color w:val="auto"/>
          <w:sz w:val="24"/>
          <w:szCs w:val="24"/>
          <w:lang w:val="en-US" w:eastAsia="zh-CN"/>
        </w:rPr>
      </w:pPr>
      <w:r>
        <w:rPr>
          <w:rFonts w:hint="eastAsia" w:ascii="宋体" w:hAnsi="宋体" w:eastAsia="宋体" w:cs="仿宋_GB2312"/>
          <w:color w:val="auto"/>
          <w:sz w:val="24"/>
          <w:szCs w:val="24"/>
          <w:lang w:val="en-US" w:eastAsia="zh-CN"/>
        </w:rPr>
        <w:t>1.完成时限为6个月</w:t>
      </w:r>
      <w:bookmarkEnd w:id="1"/>
      <w:bookmarkEnd w:id="2"/>
      <w:r>
        <w:rPr>
          <w:rFonts w:hint="eastAsia" w:ascii="宋体" w:hAnsi="宋体" w:eastAsia="宋体" w:cs="仿宋_GB2312"/>
          <w:color w:val="auto"/>
          <w:sz w:val="24"/>
          <w:szCs w:val="24"/>
          <w:lang w:val="en-US" w:eastAsia="zh-CN"/>
        </w:rPr>
        <w:t>。</w:t>
      </w:r>
    </w:p>
    <w:p w14:paraId="27F518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仿宋_GB2312"/>
          <w:color w:val="auto"/>
          <w:sz w:val="24"/>
          <w:szCs w:val="24"/>
          <w:lang w:val="en-US" w:eastAsia="zh-CN"/>
        </w:rPr>
      </w:pPr>
      <w:r>
        <w:rPr>
          <w:rFonts w:hint="eastAsia" w:ascii="宋体" w:hAnsi="宋体" w:eastAsia="宋体" w:cs="仿宋_GB2312"/>
          <w:color w:val="auto"/>
          <w:sz w:val="24"/>
          <w:szCs w:val="24"/>
          <w:lang w:val="en-US" w:eastAsia="zh-CN"/>
        </w:rPr>
        <w:t>2.项目涉及的系统接口、改造等所有费用由承建方负责。</w:t>
      </w:r>
    </w:p>
    <w:p w14:paraId="217B17E7">
      <w:pPr>
        <w:spacing w:line="360" w:lineRule="auto"/>
        <w:outlineLvl w:val="0"/>
        <w:rPr>
          <w:rFonts w:hint="eastAsia" w:ascii="Calibri" w:hAnsi="Calibri"/>
          <w:b/>
          <w:bCs/>
          <w:sz w:val="32"/>
          <w:szCs w:val="32"/>
        </w:rPr>
      </w:pPr>
    </w:p>
    <w:p w14:paraId="2D3CDA3D">
      <w:pPr>
        <w:spacing w:line="360" w:lineRule="auto"/>
        <w:outlineLvl w:val="0"/>
        <w:rPr>
          <w:rFonts w:hint="eastAsia" w:eastAsia="宋体"/>
          <w:b/>
          <w:bCs/>
          <w:lang w:val="en-US" w:eastAsia="zh-CN"/>
        </w:rPr>
      </w:pPr>
      <w:r>
        <w:rPr>
          <w:rFonts w:hint="eastAsia" w:ascii="Calibri" w:hAnsi="Calibri"/>
          <w:b/>
          <w:bCs/>
          <w:sz w:val="32"/>
          <w:szCs w:val="32"/>
        </w:rPr>
        <w:t>附件2：报价</w:t>
      </w:r>
      <w:r>
        <w:rPr>
          <w:rFonts w:hint="eastAsia" w:ascii="Calibri" w:hAnsi="Calibri"/>
          <w:b/>
          <w:bCs/>
          <w:sz w:val="32"/>
          <w:szCs w:val="32"/>
          <w:lang w:val="en-US" w:eastAsia="zh-CN"/>
        </w:rPr>
        <w:t>格式</w:t>
      </w:r>
    </w:p>
    <w:tbl>
      <w:tblPr>
        <w:tblStyle w:val="8"/>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2DF1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674" w:type="dxa"/>
            <w:noWrap w:val="0"/>
            <w:vAlign w:val="center"/>
          </w:tcPr>
          <w:p w14:paraId="71439DD2">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项目名称</w:t>
            </w:r>
          </w:p>
        </w:tc>
        <w:tc>
          <w:tcPr>
            <w:tcW w:w="785" w:type="dxa"/>
            <w:noWrap w:val="0"/>
            <w:vAlign w:val="center"/>
          </w:tcPr>
          <w:p w14:paraId="22777697">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单位</w:t>
            </w:r>
          </w:p>
        </w:tc>
        <w:tc>
          <w:tcPr>
            <w:tcW w:w="775" w:type="dxa"/>
            <w:noWrap w:val="0"/>
            <w:vAlign w:val="center"/>
          </w:tcPr>
          <w:p w14:paraId="6A949A78">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数量</w:t>
            </w:r>
          </w:p>
        </w:tc>
        <w:tc>
          <w:tcPr>
            <w:tcW w:w="1745" w:type="dxa"/>
            <w:noWrap w:val="0"/>
            <w:vAlign w:val="center"/>
          </w:tcPr>
          <w:p w14:paraId="57935529">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合计（万元）</w:t>
            </w:r>
          </w:p>
        </w:tc>
        <w:tc>
          <w:tcPr>
            <w:tcW w:w="1745" w:type="dxa"/>
            <w:noWrap w:val="0"/>
            <w:vAlign w:val="center"/>
          </w:tcPr>
          <w:p w14:paraId="422FC022">
            <w:pPr>
              <w:pStyle w:val="2"/>
              <w:jc w:val="center"/>
              <w:rPr>
                <w:rFonts w:hint="eastAsia"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备注</w:t>
            </w:r>
          </w:p>
        </w:tc>
      </w:tr>
      <w:tr w14:paraId="5B539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674" w:type="dxa"/>
            <w:shd w:val="clear"/>
            <w:noWrap w:val="0"/>
            <w:vAlign w:val="center"/>
          </w:tcPr>
          <w:p w14:paraId="3C7FEC25">
            <w:pPr>
              <w:keepNext w:val="0"/>
              <w:keepLines w:val="0"/>
              <w:widowControl/>
              <w:suppressLineNumbers w:val="0"/>
              <w:jc w:val="left"/>
              <w:textAlignment w:val="top"/>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仿宋_GB2312"/>
                <w:color w:val="auto"/>
                <w:sz w:val="24"/>
                <w:szCs w:val="24"/>
                <w:lang w:val="en-US" w:eastAsia="zh-CN"/>
              </w:rPr>
              <w:t>成都市新津区中医医院急诊系统</w:t>
            </w:r>
            <w:r>
              <w:rPr>
                <w:rFonts w:hint="eastAsia" w:ascii="宋体" w:hAnsi="宋体" w:cs="仿宋_GB2312"/>
                <w:color w:val="auto"/>
                <w:sz w:val="24"/>
                <w:szCs w:val="24"/>
                <w:lang w:val="en-US" w:eastAsia="zh-CN"/>
              </w:rPr>
              <w:t>采购项目</w:t>
            </w:r>
          </w:p>
        </w:tc>
        <w:tc>
          <w:tcPr>
            <w:tcW w:w="785" w:type="dxa"/>
            <w:shd w:val="clear"/>
            <w:noWrap w:val="0"/>
            <w:vAlign w:val="center"/>
          </w:tcPr>
          <w:p w14:paraId="1FFA5371">
            <w:pPr>
              <w:pStyle w:val="2"/>
              <w:jc w:val="center"/>
              <w:rPr>
                <w:rFonts w:hint="eastAsia" w:ascii="宋体" w:hAnsi="宋体" w:eastAsia="宋体" w:cs="宋体"/>
                <w:color w:val="auto"/>
                <w:kern w:val="0"/>
                <w:sz w:val="24"/>
                <w:szCs w:val="24"/>
                <w:shd w:val="clear" w:color="auto" w:fill="FFFFFF"/>
                <w:lang w:val="en-US" w:eastAsia="zh-CN" w:bidi="ar-SA"/>
              </w:rPr>
            </w:pPr>
            <w:r>
              <w:rPr>
                <w:rFonts w:hint="eastAsia" w:hAnsi="宋体" w:eastAsia="宋体" w:cs="宋体"/>
                <w:color w:val="auto"/>
                <w:kern w:val="0"/>
                <w:sz w:val="24"/>
                <w:szCs w:val="24"/>
                <w:shd w:val="clear" w:color="auto" w:fill="FFFFFF"/>
                <w:lang w:val="en-US" w:eastAsia="zh-CN" w:bidi="ar-SA"/>
              </w:rPr>
              <w:t>项</w:t>
            </w:r>
          </w:p>
        </w:tc>
        <w:tc>
          <w:tcPr>
            <w:tcW w:w="775" w:type="dxa"/>
            <w:shd w:val="clear"/>
            <w:noWrap w:val="0"/>
            <w:vAlign w:val="center"/>
          </w:tcPr>
          <w:p w14:paraId="4596434D">
            <w:pPr>
              <w:pStyle w:val="2"/>
              <w:jc w:val="center"/>
              <w:rPr>
                <w:rFonts w:hint="eastAsia" w:ascii="宋体" w:hAnsi="宋体" w:eastAsia="宋体" w:cs="宋体"/>
                <w:color w:val="auto"/>
                <w:kern w:val="0"/>
                <w:sz w:val="24"/>
                <w:szCs w:val="24"/>
                <w:shd w:val="clear" w:color="auto" w:fill="FFFFFF"/>
                <w:lang w:val="en-US" w:eastAsia="zh-CN" w:bidi="ar-SA"/>
              </w:rPr>
            </w:pPr>
            <w:r>
              <w:rPr>
                <w:rFonts w:hint="eastAsia" w:ascii="宋体" w:hAnsi="宋体" w:cs="宋体"/>
                <w:color w:val="auto"/>
                <w:kern w:val="0"/>
                <w:sz w:val="24"/>
                <w:szCs w:val="24"/>
                <w:shd w:val="clear" w:color="auto" w:fill="FFFFFF"/>
                <w:lang w:val="en-US" w:eastAsia="zh-CN" w:bidi="ar-SA"/>
              </w:rPr>
              <w:t>1</w:t>
            </w:r>
          </w:p>
        </w:tc>
        <w:tc>
          <w:tcPr>
            <w:tcW w:w="1745" w:type="dxa"/>
            <w:shd w:val="clear"/>
            <w:noWrap w:val="0"/>
            <w:vAlign w:val="center"/>
          </w:tcPr>
          <w:p w14:paraId="380BD778">
            <w:pPr>
              <w:pStyle w:val="2"/>
              <w:jc w:val="center"/>
              <w:rPr>
                <w:rFonts w:hint="eastAsia" w:ascii="宋体" w:hAnsi="宋体" w:eastAsia="宋体" w:cs="宋体"/>
                <w:color w:val="auto"/>
                <w:kern w:val="0"/>
                <w:sz w:val="24"/>
                <w:szCs w:val="24"/>
                <w:shd w:val="clear" w:color="auto" w:fill="FFFFFF"/>
                <w:lang w:val="en-US" w:eastAsia="zh-CN" w:bidi="ar-SA"/>
              </w:rPr>
            </w:pPr>
          </w:p>
        </w:tc>
        <w:tc>
          <w:tcPr>
            <w:tcW w:w="1745" w:type="dxa"/>
            <w:noWrap w:val="0"/>
            <w:vAlign w:val="center"/>
          </w:tcPr>
          <w:p w14:paraId="5CEE6D4C">
            <w:pPr>
              <w:pStyle w:val="2"/>
              <w:jc w:val="center"/>
              <w:rPr>
                <w:rFonts w:hint="eastAsia" w:hAnsi="宋体" w:cs="宋体"/>
                <w:color w:val="auto"/>
                <w:kern w:val="0"/>
                <w:sz w:val="24"/>
                <w:szCs w:val="24"/>
                <w:shd w:val="clear" w:color="auto" w:fill="FFFFFF"/>
                <w:lang w:val="en-US" w:eastAsia="zh-CN" w:bidi="ar-SA"/>
              </w:rPr>
            </w:pPr>
          </w:p>
        </w:tc>
      </w:tr>
    </w:tbl>
    <w:p w14:paraId="5C1B1CFB">
      <w:pPr>
        <w:keepNext w:val="0"/>
        <w:keepLines w:val="0"/>
        <w:widowControl/>
        <w:suppressLineNumbers w:val="0"/>
        <w:jc w:val="left"/>
        <w:textAlignment w:val="top"/>
        <w:rPr>
          <w:rFonts w:hint="eastAsia" w:ascii="等线" w:hAnsi="等线" w:eastAsia="等线" w:cs="等线"/>
          <w:i w:val="0"/>
          <w:iCs w:val="0"/>
          <w:color w:val="000000"/>
          <w:kern w:val="0"/>
          <w:sz w:val="22"/>
          <w:szCs w:val="22"/>
          <w:u w:val="none"/>
          <w:lang w:val="en-US" w:eastAsia="zh-CN" w:bidi="ar"/>
        </w:rPr>
      </w:pPr>
    </w:p>
    <w:p w14:paraId="1CAA5B7D">
      <w:pPr>
        <w:spacing w:line="360" w:lineRule="auto"/>
        <w:outlineLvl w:val="1"/>
        <w:rPr>
          <w:rFonts w:hint="eastAsia" w:ascii="黑体" w:hAnsi="黑体" w:eastAsia="黑体" w:cs="黑体"/>
          <w:color w:val="000000"/>
          <w:kern w:val="2"/>
          <w:sz w:val="32"/>
          <w:szCs w:val="32"/>
          <w:lang w:val="en-US" w:eastAsia="zh-CN" w:bidi="ar-SA"/>
        </w:rPr>
      </w:pPr>
      <w:bookmarkStart w:id="3" w:name="_GoBack"/>
      <w:bookmarkEnd w:id="3"/>
    </w:p>
    <w:p w14:paraId="344C1411">
      <w:pPr>
        <w:spacing w:line="360" w:lineRule="auto"/>
        <w:outlineLvl w:val="1"/>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附件3：报名登记表</w:t>
      </w:r>
    </w:p>
    <w:p w14:paraId="37AC5681"/>
    <w:p w14:paraId="11D5D951">
      <w:pPr>
        <w:jc w:val="center"/>
        <w:rPr>
          <w:rFonts w:ascii="华文中宋" w:hAnsi="华文中宋" w:eastAsia="华文中宋"/>
          <w:b/>
          <w:sz w:val="36"/>
          <w:szCs w:val="36"/>
        </w:rPr>
      </w:pPr>
      <w:r>
        <w:rPr>
          <w:rFonts w:hint="eastAsia" w:ascii="华文中宋" w:hAnsi="华文中宋" w:eastAsia="华文中宋"/>
          <w:b/>
          <w:sz w:val="36"/>
          <w:szCs w:val="36"/>
        </w:rPr>
        <w:t>报名登记表</w:t>
      </w:r>
    </w:p>
    <w:p w14:paraId="49EBDF5A"/>
    <w:tbl>
      <w:tblPr>
        <w:tblStyle w:val="8"/>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BF245C">
            <w:pPr>
              <w:jc w:val="center"/>
              <w:rPr>
                <w:rFonts w:ascii="仿宋" w:hAnsi="仿宋" w:eastAsia="仿宋"/>
                <w:kern w:val="2"/>
                <w:sz w:val="28"/>
                <w:szCs w:val="28"/>
              </w:rPr>
            </w:pP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报名单位 /个人名称</w:t>
            </w:r>
          </w:p>
          <w:p w14:paraId="36D2E676">
            <w:pPr>
              <w:ind w:firstLine="236" w:firstLineChars="98"/>
              <w:rPr>
                <w:rFonts w:ascii="仿宋" w:hAnsi="仿宋" w:eastAsia="仿宋"/>
                <w:b/>
                <w:kern w:val="2"/>
                <w:sz w:val="24"/>
                <w:szCs w:val="24"/>
              </w:rPr>
            </w:pPr>
            <w:r>
              <w:rPr>
                <w:rFonts w:hint="eastAsia" w:ascii="仿宋" w:hAnsi="仿宋" w:eastAsia="仿宋"/>
                <w:b/>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kern w:val="2"/>
                <w:sz w:val="28"/>
                <w:szCs w:val="28"/>
                <w:lang w:val="en-US" w:eastAsia="zh-CN"/>
              </w:rPr>
            </w:pPr>
            <w:r>
              <w:rPr>
                <w:rFonts w:hint="eastAsia"/>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kern w:val="2"/>
                <w:sz w:val="28"/>
                <w:szCs w:val="28"/>
                <w:lang w:eastAsia="zh-CN"/>
              </w:rPr>
            </w:pPr>
            <w:r>
              <w:rPr>
                <w:rFonts w:hint="eastAsia" w:ascii="仿宋" w:hAnsi="仿宋" w:eastAsia="仿宋"/>
                <w:kern w:val="2"/>
                <w:sz w:val="28"/>
                <w:szCs w:val="28"/>
              </w:rPr>
              <w:t>单位电话</w:t>
            </w:r>
            <w:r>
              <w:rPr>
                <w:rFonts w:hint="eastAsia" w:ascii="仿宋" w:hAnsi="仿宋" w:eastAsia="仿宋"/>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kern w:val="2"/>
                <w:sz w:val="28"/>
                <w:szCs w:val="28"/>
              </w:rPr>
            </w:pPr>
            <w:r>
              <w:rPr>
                <w:rFonts w:hint="eastAsia"/>
                <w:kern w:val="2"/>
                <w:sz w:val="28"/>
                <w:szCs w:val="28"/>
                <w:lang w:val="en-US" w:eastAsia="zh-CN"/>
              </w:rPr>
              <w:t>*经办</w:t>
            </w:r>
            <w:r>
              <w:rPr>
                <w:rFonts w:hint="eastAsia" w:ascii="仿宋" w:hAnsi="仿宋" w:eastAsia="仿宋"/>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kern w:val="2"/>
                <w:sz w:val="28"/>
                <w:szCs w:val="28"/>
              </w:rPr>
            </w:pPr>
            <w:r>
              <w:rPr>
                <w:rFonts w:hint="eastAsia" w:ascii="仿宋" w:hAnsi="仿宋" w:eastAsia="仿宋"/>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kern w:val="2"/>
                <w:sz w:val="28"/>
                <w:szCs w:val="28"/>
              </w:rPr>
            </w:pPr>
            <w:r>
              <w:rPr>
                <w:rFonts w:hint="eastAsia" w:ascii="仿宋" w:hAnsi="仿宋" w:eastAsia="仿宋"/>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kern w:val="2"/>
                <w:sz w:val="28"/>
                <w:szCs w:val="28"/>
              </w:rPr>
            </w:pPr>
          </w:p>
        </w:tc>
      </w:tr>
    </w:tbl>
    <w:p w14:paraId="28E9893F">
      <w:pPr>
        <w:jc w:val="center"/>
        <w:rPr>
          <w:rFonts w:ascii="Times New Roman"/>
          <w:kern w:val="2"/>
          <w:sz w:val="21"/>
        </w:rPr>
      </w:pPr>
    </w:p>
    <w:p w14:paraId="6743D11D">
      <w:pPr>
        <w:spacing w:line="360" w:lineRule="auto"/>
        <w:rPr>
          <w:rFonts w:hint="default" w:ascii="仿宋" w:hAnsi="仿宋" w:eastAsia="仿宋" w:cs="Times New Roman"/>
          <w:sz w:val="24"/>
          <w:szCs w:val="24"/>
          <w:lang w:val="en-US" w:eastAsia="zh-CN"/>
        </w:rPr>
      </w:pPr>
      <w:r>
        <w:rPr>
          <w:rFonts w:hint="eastAsia" w:ascii="仿宋" w:hAnsi="仿宋" w:eastAsia="仿宋" w:cs="Times New Roman"/>
          <w:sz w:val="24"/>
          <w:szCs w:val="24"/>
        </w:rPr>
        <w:t xml:space="preserve">    </w:t>
      </w:r>
      <w:r>
        <w:rPr>
          <w:rFonts w:hint="eastAsia" w:ascii="仿宋" w:hAnsi="仿宋" w:eastAsia="仿宋" w:cs="Times New Roman"/>
          <w:sz w:val="24"/>
          <w:szCs w:val="24"/>
          <w:lang w:eastAsia="zh-CN"/>
        </w:rPr>
        <w:t>采购单位联系人：</w:t>
      </w:r>
      <w:r>
        <w:rPr>
          <w:rFonts w:hint="eastAsia" w:ascii="仿宋" w:hAnsi="仿宋" w:eastAsia="仿宋" w:cs="Times New Roman"/>
          <w:sz w:val="24"/>
          <w:szCs w:val="24"/>
          <w:lang w:val="en-US" w:eastAsia="zh-CN"/>
        </w:rPr>
        <w:t>王</w:t>
      </w:r>
      <w:r>
        <w:rPr>
          <w:rFonts w:hint="eastAsia" w:ascii="仿宋" w:hAnsi="仿宋" w:eastAsia="仿宋" w:cs="Times New Roman"/>
          <w:sz w:val="24"/>
          <w:szCs w:val="24"/>
          <w:lang w:eastAsia="zh-CN"/>
        </w:rPr>
        <w:t>老师</w:t>
      </w:r>
      <w:r>
        <w:rPr>
          <w:rFonts w:hint="eastAsia" w:ascii="仿宋" w:hAnsi="仿宋" w:eastAsia="仿宋" w:cs="Times New Roman"/>
          <w:sz w:val="24"/>
          <w:szCs w:val="24"/>
          <w:lang w:val="en-US" w:eastAsia="zh-CN"/>
        </w:rPr>
        <w:t xml:space="preserve"> 02882526150</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邮箱616378970@qq.com</w:t>
      </w:r>
    </w:p>
    <w:p w14:paraId="3E4B405A">
      <w:pPr>
        <w:spacing w:line="360" w:lineRule="auto"/>
        <w:rPr>
          <w:rFonts w:hint="eastAsia" w:ascii="仿宋" w:hAnsi="仿宋" w:eastAsia="仿宋" w:cs="Times New Roman"/>
          <w:color w:val="FF0000"/>
          <w:sz w:val="24"/>
          <w:szCs w:val="24"/>
          <w:highlight w:val="none"/>
          <w:lang w:val="en-US" w:eastAsia="zh-CN"/>
        </w:rPr>
      </w:pPr>
      <w:r>
        <w:rPr>
          <w:rFonts w:hint="eastAsia" w:ascii="仿宋" w:hAnsi="仿宋" w:eastAsia="仿宋" w:cs="Times New Roman"/>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FF0000"/>
          <w:sz w:val="24"/>
          <w:szCs w:val="24"/>
          <w:highlight w:val="none"/>
          <w:lang w:val="en-US" w:eastAsia="zh-CN"/>
        </w:rPr>
        <w:t>递交响应文件时，把以上3项资料盖章资料一并递交，此3项资料无需密封。</w:t>
      </w:r>
    </w:p>
    <w:p w14:paraId="15FD005A">
      <w:pPr>
        <w:spacing w:line="360" w:lineRule="auto"/>
        <w:rPr>
          <w:rFonts w:hint="eastAsia" w:ascii="仿宋" w:hAnsi="仿宋" w:eastAsia="仿宋" w:cs="Times New Roman"/>
          <w:sz w:val="24"/>
          <w:szCs w:val="24"/>
          <w:lang w:eastAsia="zh-CN"/>
        </w:rPr>
      </w:pPr>
      <w:r>
        <w:rPr>
          <w:rFonts w:hint="eastAsia" w:ascii="仿宋" w:hAnsi="仿宋" w:eastAsia="仿宋" w:cs="Times New Roman"/>
          <w:sz w:val="24"/>
          <w:szCs w:val="24"/>
          <w:lang w:eastAsia="zh-CN"/>
        </w:rPr>
        <w:t>投标单位购买招标文件时请如实认真填写报名登记表和投标人信息；若因投标单位提供的错误或不实信息，对其投标事宜造成影响的，由其投标单位自行承担所有责任。</w:t>
      </w:r>
    </w:p>
    <w:p w14:paraId="73B4E8C0">
      <w:pPr>
        <w:rPr>
          <w:rFonts w:hint="default" w:eastAsia="宋体"/>
          <w:b/>
          <w:bCs/>
          <w:lang w:val="en-US" w:eastAsia="zh-CN"/>
        </w:rPr>
      </w:pPr>
    </w:p>
    <w:p w14:paraId="6E713ADB"/>
    <w:sectPr>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6B2D59"/>
    <w:multiLevelType w:val="singleLevel"/>
    <w:tmpl w:val="E56B2D5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2OTk3MjRkZWU2ODk4NzM3Yzc1ZThhN2UwMmI1NmMifQ=="/>
  </w:docVars>
  <w:rsids>
    <w:rsidRoot w:val="00000000"/>
    <w:rsid w:val="01DD00F0"/>
    <w:rsid w:val="38A327FE"/>
    <w:rsid w:val="3A652E3E"/>
    <w:rsid w:val="3E3A71C5"/>
    <w:rsid w:val="3FD3401C"/>
    <w:rsid w:val="4A1C049C"/>
    <w:rsid w:val="54332E81"/>
    <w:rsid w:val="554D4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宋体" w:hAnsi="Times New Roman"/>
      <w:kern w:val="0"/>
      <w:sz w:val="34"/>
      <w:szCs w:val="20"/>
    </w:rPr>
  </w:style>
  <w:style w:type="paragraph" w:styleId="3">
    <w:name w:val="Body Text Indent"/>
    <w:basedOn w:val="1"/>
    <w:next w:val="4"/>
    <w:qFormat/>
    <w:uiPriority w:val="0"/>
    <w:pPr>
      <w:spacing w:line="500" w:lineRule="exact"/>
      <w:ind w:left="832" w:leftChars="832" w:firstLine="433" w:firstLineChars="196"/>
    </w:pPr>
    <w:rPr>
      <w:sz w:val="24"/>
    </w:rPr>
  </w:style>
  <w:style w:type="paragraph" w:styleId="4">
    <w:name w:val="Body Text First Indent 2"/>
    <w:basedOn w:val="3"/>
    <w:qFormat/>
    <w:uiPriority w:val="0"/>
    <w:pPr>
      <w:spacing w:after="120" w:line="240" w:lineRule="auto"/>
      <w:ind w:left="420" w:leftChars="200" w:firstLine="420"/>
    </w:pPr>
    <w:rPr>
      <w:sz w:val="21"/>
    </w:rPr>
  </w:style>
  <w:style w:type="paragraph" w:styleId="5">
    <w:name w:val="List"/>
    <w:basedOn w:val="1"/>
    <w:qFormat/>
    <w:uiPriority w:val="0"/>
    <w:pPr>
      <w:spacing w:line="360" w:lineRule="auto"/>
      <w:ind w:left="200" w:hanging="200" w:hangingChars="200"/>
    </w:pPr>
    <w:rPr>
      <w:rFonts w:ascii="Times New Roman" w:hAnsi="Times New Roman" w:eastAsia="宋体" w:cs="Times New Roman"/>
      <w:sz w:val="24"/>
      <w:szCs w:val="20"/>
    </w:rPr>
  </w:style>
  <w:style w:type="paragraph" w:styleId="6">
    <w:name w:val="Body Text 2"/>
    <w:basedOn w:val="1"/>
    <w:next w:val="2"/>
    <w:qFormat/>
    <w:uiPriority w:val="0"/>
    <w:pPr>
      <w:widowControl/>
      <w:spacing w:before="100" w:beforeAutospacing="1" w:after="100" w:afterAutospacing="1"/>
      <w:jc w:val="left"/>
    </w:pPr>
    <w:rPr>
      <w:rFonts w:hAnsi="宋体"/>
      <w:kern w:val="0"/>
    </w:rPr>
  </w:style>
  <w:style w:type="paragraph" w:styleId="7">
    <w:name w:val="Body Text First Indent"/>
    <w:basedOn w:val="2"/>
    <w:next w:val="1"/>
    <w:qFormat/>
    <w:uiPriority w:val="0"/>
    <w:pPr>
      <w:spacing w:after="0"/>
      <w:ind w:firstLine="200" w:firstLineChars="200"/>
    </w:pPr>
    <w:rPr>
      <w:rFonts w:ascii="Times New Roman" w:hAnsi="Times New Roman"/>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34"/>
    <w:pPr>
      <w:ind w:firstLine="420" w:firstLineChars="200"/>
    </w:pPr>
    <w:rPr>
      <w:rFonts w:ascii="等线" w:hAnsi="等线" w:eastAsia="等线"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930</Words>
  <Characters>1006</Characters>
  <Lines>0</Lines>
  <Paragraphs>0</Paragraphs>
  <TotalTime>26</TotalTime>
  <ScaleCrop>false</ScaleCrop>
  <LinksUpToDate>false</LinksUpToDate>
  <CharactersWithSpaces>1017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小潘</cp:lastModifiedBy>
  <cp:lastPrinted>2024-11-06T08:47:05Z</cp:lastPrinted>
  <dcterms:modified xsi:type="dcterms:W3CDTF">2024-11-06T09:08:28Z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021C317B23FA4BE3BCE734A959C2DAC1_12</vt:lpwstr>
  </property>
</Properties>
</file>